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7" w:rsidRDefault="00EC0847">
      <w:pPr>
        <w:pStyle w:val="ad"/>
        <w:sectPr w:rsidR="00EC0847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bookmarkStart w:id="0" w:name="__RefHeading__1_1663053179"/>
      <w:bookmarkStart w:id="1" w:name="_Toc421199502"/>
      <w:bookmarkEnd w:id="0"/>
      <w:r>
        <w:t>Оглавление</w:t>
      </w:r>
      <w:bookmarkEnd w:id="1"/>
    </w:p>
    <w:p w:rsidR="007E1015" w:rsidRDefault="00104FFE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lastRenderedPageBreak/>
        <w:fldChar w:fldCharType="begin"/>
      </w:r>
      <w:r w:rsidR="00EC0847">
        <w:instrText xml:space="preserve"> TOC </w:instrText>
      </w:r>
      <w:r>
        <w:fldChar w:fldCharType="separate"/>
      </w:r>
      <w:r w:rsidR="007E1015">
        <w:rPr>
          <w:noProof/>
        </w:rPr>
        <w:t>Оглавление</w:t>
      </w:r>
      <w:r w:rsidR="007E1015">
        <w:rPr>
          <w:noProof/>
        </w:rPr>
        <w:tab/>
      </w:r>
      <w:r>
        <w:rPr>
          <w:noProof/>
        </w:rPr>
        <w:fldChar w:fldCharType="begin"/>
      </w:r>
      <w:r w:rsidR="007E1015">
        <w:rPr>
          <w:noProof/>
        </w:rPr>
        <w:instrText xml:space="preserve"> PAGEREF _Toc421199502 \h </w:instrText>
      </w:r>
      <w:r>
        <w:rPr>
          <w:noProof/>
        </w:rPr>
      </w:r>
      <w:r>
        <w:rPr>
          <w:noProof/>
        </w:rPr>
        <w:fldChar w:fldCharType="separate"/>
      </w:r>
      <w:r w:rsidR="007E1015">
        <w:rPr>
          <w:noProof/>
        </w:rPr>
        <w:t>1</w:t>
      </w:r>
      <w:r>
        <w:rPr>
          <w:noProof/>
        </w:rPr>
        <w:fldChar w:fldCharType="end"/>
      </w:r>
    </w:p>
    <w:p w:rsidR="007E1015" w:rsidRDefault="007E1015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Список сокращений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_Toc421199503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2</w:t>
      </w:r>
      <w:r w:rsidR="00104FFE">
        <w:rPr>
          <w:noProof/>
        </w:rPr>
        <w:fldChar w:fldCharType="end"/>
      </w:r>
    </w:p>
    <w:p w:rsidR="007E1015" w:rsidRDefault="007E1015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Введение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_Toc421199504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3</w:t>
      </w:r>
      <w:r w:rsidR="00104FFE">
        <w:rPr>
          <w:noProof/>
        </w:rPr>
        <w:fldChar w:fldCharType="end"/>
      </w:r>
    </w:p>
    <w:p w:rsidR="007E1015" w:rsidRDefault="007E1015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Сканеры штрих-кодов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_Toc421199505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4</w:t>
      </w:r>
      <w:r w:rsidR="00104FFE">
        <w:rPr>
          <w:noProof/>
        </w:rPr>
        <w:fldChar w:fldCharType="end"/>
      </w:r>
    </w:p>
    <w:p w:rsidR="007E1015" w:rsidRDefault="007E1015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Начало работы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_Toc421199506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6</w:t>
      </w:r>
      <w:r w:rsidR="00104FFE">
        <w:rPr>
          <w:noProof/>
        </w:rPr>
        <w:fldChar w:fldCharType="end"/>
      </w:r>
    </w:p>
    <w:p w:rsidR="007E1015" w:rsidRDefault="007E1015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Знакомство с принципами и функционалом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_Toc421199507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6</w:t>
      </w:r>
      <w:r w:rsidR="00104FFE">
        <w:rPr>
          <w:noProof/>
        </w:rPr>
        <w:fldChar w:fldCharType="end"/>
      </w:r>
    </w:p>
    <w:p w:rsidR="007E1015" w:rsidRDefault="007E1015">
      <w:pPr>
        <w:pStyle w:val="21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Справочники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_Toc421199508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6</w:t>
      </w:r>
      <w:r w:rsidR="00104FFE">
        <w:rPr>
          <w:noProof/>
        </w:rPr>
        <w:fldChar w:fldCharType="end"/>
      </w:r>
    </w:p>
    <w:p w:rsidR="007E1015" w:rsidRDefault="007E1015">
      <w:pPr>
        <w:pStyle w:val="21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Сканирование квитанций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_Toc421199509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9</w:t>
      </w:r>
      <w:r w:rsidR="00104FFE">
        <w:rPr>
          <w:noProof/>
        </w:rPr>
        <w:fldChar w:fldCharType="end"/>
      </w:r>
    </w:p>
    <w:p w:rsidR="007E1015" w:rsidRDefault="007E1015">
      <w:pPr>
        <w:pStyle w:val="21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Тестовая загрузка платежей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_Toc421199510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9</w:t>
      </w:r>
      <w:r w:rsidR="00104FFE">
        <w:rPr>
          <w:noProof/>
        </w:rPr>
        <w:fldChar w:fldCharType="end"/>
      </w:r>
    </w:p>
    <w:p w:rsidR="007E1015" w:rsidRDefault="007E1015">
      <w:pPr>
        <w:pStyle w:val="21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Выгрузка в банковскую систему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_Toc421199511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10</w:t>
      </w:r>
      <w:r w:rsidR="00104FFE">
        <w:rPr>
          <w:noProof/>
        </w:rPr>
        <w:fldChar w:fldCharType="end"/>
      </w:r>
    </w:p>
    <w:p w:rsidR="007E1015" w:rsidRDefault="007E1015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Выгрузка документов для ПУ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_Toc421199512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13</w:t>
      </w:r>
      <w:r w:rsidR="00104FFE">
        <w:rPr>
          <w:noProof/>
        </w:rPr>
        <w:fldChar w:fldCharType="end"/>
      </w:r>
    </w:p>
    <w:p w:rsidR="007E1015" w:rsidRDefault="007E1015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Интеграция с банковской системой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_Toc421199513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15</w:t>
      </w:r>
      <w:r w:rsidR="00104FFE">
        <w:rPr>
          <w:noProof/>
        </w:rPr>
        <w:fldChar w:fldCharType="end"/>
      </w:r>
    </w:p>
    <w:p w:rsidR="007E1015" w:rsidRDefault="007E1015">
      <w:pPr>
        <w:pStyle w:val="21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Настройка раскладок</w:t>
      </w:r>
      <w:r>
        <w:rPr>
          <w:noProof/>
        </w:rPr>
        <w:tab/>
      </w:r>
      <w:r w:rsidR="00104FFE">
        <w:rPr>
          <w:noProof/>
        </w:rPr>
        <w:fldChar w:fldCharType="begin"/>
      </w:r>
      <w:r>
        <w:rPr>
          <w:noProof/>
        </w:rPr>
        <w:instrText xml:space="preserve"> PAGEREF _Toc421199514 \h </w:instrText>
      </w:r>
      <w:r w:rsidR="00104FFE">
        <w:rPr>
          <w:noProof/>
        </w:rPr>
      </w:r>
      <w:r w:rsidR="00104FFE">
        <w:rPr>
          <w:noProof/>
        </w:rPr>
        <w:fldChar w:fldCharType="separate"/>
      </w:r>
      <w:r>
        <w:rPr>
          <w:noProof/>
        </w:rPr>
        <w:t>15</w:t>
      </w:r>
      <w:r w:rsidR="00104FFE">
        <w:rPr>
          <w:noProof/>
        </w:rPr>
        <w:fldChar w:fldCharType="end"/>
      </w:r>
    </w:p>
    <w:p w:rsidR="00EC0847" w:rsidRDefault="00104FFE">
      <w:pPr>
        <w:pStyle w:val="21"/>
        <w:tabs>
          <w:tab w:val="right" w:leader="dot" w:pos="9355"/>
        </w:tabs>
        <w:sectPr w:rsidR="00EC0847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>
        <w:fldChar w:fldCharType="end"/>
      </w:r>
    </w:p>
    <w:p w:rsidR="00EC0847" w:rsidRDefault="00EC0847">
      <w:pPr>
        <w:tabs>
          <w:tab w:val="right" w:leader="dot" w:pos="9345"/>
        </w:tabs>
      </w:pPr>
    </w:p>
    <w:p w:rsidR="00EC0847" w:rsidRDefault="00EC0847">
      <w:pPr>
        <w:pStyle w:val="1"/>
        <w:pageBreakBefore/>
      </w:pPr>
      <w:bookmarkStart w:id="2" w:name="__RefHeading__3_1663053179"/>
      <w:bookmarkStart w:id="3" w:name="_Toc421199503"/>
      <w:bookmarkEnd w:id="2"/>
      <w:r>
        <w:lastRenderedPageBreak/>
        <w:t>Список сокращений</w:t>
      </w:r>
      <w:bookmarkEnd w:id="3"/>
    </w:p>
    <w:p w:rsidR="00682AB9" w:rsidRPr="00682AB9" w:rsidRDefault="00682AB9">
      <w:r>
        <w:rPr>
          <w:b/>
        </w:rPr>
        <w:t xml:space="preserve">ПО – </w:t>
      </w:r>
      <w:r>
        <w:t>программное обеспечение</w:t>
      </w:r>
    </w:p>
    <w:p w:rsidR="00EC0847" w:rsidRDefault="00EC0847">
      <w:r>
        <w:rPr>
          <w:b/>
        </w:rPr>
        <w:t>БД</w:t>
      </w:r>
      <w:r>
        <w:t xml:space="preserve"> – база данных</w:t>
      </w:r>
    </w:p>
    <w:p w:rsidR="00EC0847" w:rsidRDefault="00EC0847">
      <w:r>
        <w:rPr>
          <w:b/>
        </w:rPr>
        <w:t>Сервер</w:t>
      </w:r>
      <w:r>
        <w:t xml:space="preserve"> – </w:t>
      </w:r>
      <w:r w:rsidR="00F25716">
        <w:t>выделенный сервер</w:t>
      </w:r>
      <w:r>
        <w:t xml:space="preserve"> или просто компьютер одного из пользователей, на котором программа установлена полностью – вместе с </w:t>
      </w:r>
      <w:r>
        <w:rPr>
          <w:b/>
        </w:rPr>
        <w:t>БД</w:t>
      </w:r>
    </w:p>
    <w:p w:rsidR="00B21806" w:rsidRDefault="00B21806">
      <w:r w:rsidRPr="00B21806">
        <w:rPr>
          <w:b/>
        </w:rPr>
        <w:t>ДШК</w:t>
      </w:r>
      <w:r>
        <w:t xml:space="preserve"> – двухмерный штрих-код</w:t>
      </w:r>
    </w:p>
    <w:p w:rsidR="00F56BA3" w:rsidRPr="008C3891" w:rsidRDefault="00F56BA3">
      <w:r w:rsidRPr="00F56BA3">
        <w:rPr>
          <w:b/>
        </w:rPr>
        <w:t>ПУ</w:t>
      </w:r>
      <w:r>
        <w:t xml:space="preserve"> – поставщик услуг – организация, формирующая квитанции с </w:t>
      </w:r>
      <w:r w:rsidR="001226EB">
        <w:t>ДШК; таких организаций может быть несколько, и их квитанции различаются. Также может отличаться набор тегов платежа, содержащихся в ДШК раз</w:t>
      </w:r>
      <w:r w:rsidR="00814B12">
        <w:t>ных ПУ</w:t>
      </w:r>
    </w:p>
    <w:p w:rsidR="00814B12" w:rsidRPr="00814B12" w:rsidRDefault="00814B12">
      <w:r w:rsidRPr="00814B12">
        <w:rPr>
          <w:b/>
        </w:rPr>
        <w:t>БС</w:t>
      </w:r>
      <w:r>
        <w:t xml:space="preserve"> – банковская (автоматизированная) система</w:t>
      </w:r>
    </w:p>
    <w:p w:rsidR="00EC0847" w:rsidRPr="00F56BA3" w:rsidRDefault="00EC0847"/>
    <w:p w:rsidR="00682AB9" w:rsidRDefault="00682AB9" w:rsidP="00682AB9">
      <w:pPr>
        <w:pStyle w:val="1"/>
        <w:pageBreakBefore/>
        <w:rPr>
          <w:lang w:val="en-US"/>
        </w:rPr>
      </w:pPr>
      <w:bookmarkStart w:id="4" w:name="_Toc421199504"/>
      <w:r>
        <w:lastRenderedPageBreak/>
        <w:t>Введение</w:t>
      </w:r>
      <w:bookmarkEnd w:id="4"/>
    </w:p>
    <w:p w:rsidR="00682AB9" w:rsidRDefault="00682AB9" w:rsidP="00682AB9">
      <w:r>
        <w:t>ПО «</w:t>
      </w:r>
      <w:proofErr w:type="spellStart"/>
      <w:r w:rsidRPr="00F617B3">
        <w:rPr>
          <w:b/>
        </w:rPr>
        <w:t>Биллинг</w:t>
      </w:r>
      <w:proofErr w:type="spellEnd"/>
      <w:r w:rsidRPr="00F617B3">
        <w:rPr>
          <w:b/>
        </w:rPr>
        <w:t xml:space="preserve"> 2</w:t>
      </w:r>
      <w:r w:rsidRPr="00F617B3">
        <w:rPr>
          <w:b/>
          <w:lang w:val="en-US"/>
        </w:rPr>
        <w:t>D</w:t>
      </w:r>
      <w:r>
        <w:t>» предназначено для банков и позволяет организовать</w:t>
      </w:r>
      <w:r w:rsidR="00B21806" w:rsidRPr="00B21806">
        <w:t xml:space="preserve"> </w:t>
      </w:r>
      <w:r w:rsidR="00B21806">
        <w:t xml:space="preserve">приём и обработку коммунальных платежей с </w:t>
      </w:r>
      <w:proofErr w:type="gramStart"/>
      <w:r w:rsidR="00B21806">
        <w:t>двухмерным</w:t>
      </w:r>
      <w:proofErr w:type="gramEnd"/>
      <w:r w:rsidR="00B21806">
        <w:t xml:space="preserve"> </w:t>
      </w:r>
      <w:proofErr w:type="spellStart"/>
      <w:r w:rsidR="00B21806">
        <w:t>штрих-кодом</w:t>
      </w:r>
      <w:proofErr w:type="spellEnd"/>
      <w:r w:rsidR="00B21806">
        <w:t xml:space="preserve"> (ДШК).</w:t>
      </w:r>
    </w:p>
    <w:p w:rsidR="008B73DB" w:rsidRDefault="008B73DB" w:rsidP="00682AB9"/>
    <w:p w:rsidR="008B73DB" w:rsidRDefault="00F5571A" w:rsidP="00682AB9"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>
            <wp:extent cx="4993640" cy="2773680"/>
            <wp:effectExtent l="19050" t="0" r="0" b="0"/>
            <wp:docPr id="1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DB" w:rsidRPr="00CA0CF4" w:rsidRDefault="008B73DB" w:rsidP="00682AB9">
      <w:r>
        <w:t>Рис. 1</w:t>
      </w:r>
      <w:r w:rsidR="006121C8" w:rsidRPr="00CA0CF4">
        <w:t>.1</w:t>
      </w:r>
    </w:p>
    <w:p w:rsidR="008B73DB" w:rsidRDefault="008B73DB" w:rsidP="00682AB9"/>
    <w:p w:rsidR="00B21806" w:rsidRDefault="00B21806" w:rsidP="00682AB9">
      <w:pPr>
        <w:rPr>
          <w:rFonts w:ascii="Verdana" w:hAnsi="Verdana"/>
          <w:color w:val="000000"/>
          <w:sz w:val="20"/>
          <w:szCs w:val="20"/>
        </w:rPr>
      </w:pPr>
      <w:r>
        <w:t xml:space="preserve">Предварительные пояснения по применению ДШК приведены здесь: </w:t>
      </w:r>
      <w:hyperlink r:id="rId10" w:history="1">
        <w:r>
          <w:rPr>
            <w:rStyle w:val="a6"/>
            <w:rFonts w:ascii="Verdana" w:hAnsi="Verdana"/>
            <w:sz w:val="20"/>
            <w:szCs w:val="20"/>
            <w:lang w:val="en-US"/>
          </w:rPr>
          <w:t>http</w:t>
        </w:r>
        <w:r w:rsidRPr="00B21806">
          <w:rPr>
            <w:rStyle w:val="a6"/>
            <w:rFonts w:ascii="Verdana" w:hAnsi="Verdana"/>
            <w:sz w:val="20"/>
            <w:szCs w:val="20"/>
          </w:rPr>
          <w:t>://</w:t>
        </w:r>
        <w:r>
          <w:rPr>
            <w:rStyle w:val="a6"/>
            <w:rFonts w:ascii="Verdana" w:hAnsi="Verdana"/>
            <w:sz w:val="20"/>
            <w:szCs w:val="20"/>
            <w:lang w:val="en-US"/>
          </w:rPr>
          <w:t>www</w:t>
        </w:r>
        <w:r w:rsidRPr="00B21806">
          <w:rPr>
            <w:rStyle w:val="a6"/>
            <w:rFonts w:ascii="Verdana" w:hAnsi="Verdana"/>
            <w:sz w:val="20"/>
            <w:szCs w:val="20"/>
          </w:rPr>
          <w:t>.</w:t>
        </w:r>
        <w:proofErr w:type="spellStart"/>
        <w:r>
          <w:rPr>
            <w:rStyle w:val="a6"/>
            <w:rFonts w:ascii="Verdana" w:hAnsi="Verdana"/>
            <w:sz w:val="20"/>
            <w:szCs w:val="20"/>
            <w:lang w:val="en-US"/>
          </w:rPr>
          <w:t>sbqr</w:t>
        </w:r>
        <w:proofErr w:type="spellEnd"/>
        <w:r w:rsidRPr="00B21806">
          <w:rPr>
            <w:rStyle w:val="a6"/>
            <w:rFonts w:ascii="Verdana" w:hAnsi="Verdana"/>
            <w:sz w:val="20"/>
            <w:szCs w:val="20"/>
          </w:rPr>
          <w:t>.</w:t>
        </w:r>
        <w:proofErr w:type="spellStart"/>
        <w:r>
          <w:rPr>
            <w:rStyle w:val="a6"/>
            <w:rFonts w:ascii="Verdana" w:hAnsi="Verdana"/>
            <w:sz w:val="20"/>
            <w:szCs w:val="20"/>
            <w:lang w:val="en-US"/>
          </w:rPr>
          <w:t>ru</w:t>
        </w:r>
        <w:proofErr w:type="spellEnd"/>
        <w:r w:rsidRPr="00B21806">
          <w:rPr>
            <w:rStyle w:val="a6"/>
            <w:rFonts w:ascii="Verdana" w:hAnsi="Verdana"/>
            <w:sz w:val="20"/>
            <w:szCs w:val="20"/>
          </w:rPr>
          <w:t>/</w:t>
        </w:r>
      </w:hyperlink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B21806" w:rsidRPr="007F4541" w:rsidRDefault="00B21806" w:rsidP="00682AB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Полное описание стандарта: </w:t>
      </w:r>
      <w:hyperlink r:id="rId11" w:history="1">
        <w:r w:rsidR="008C3891" w:rsidRPr="00700664">
          <w:rPr>
            <w:rStyle w:val="a6"/>
            <w:rFonts w:ascii="Verdana" w:hAnsi="Verdana"/>
            <w:sz w:val="20"/>
            <w:szCs w:val="20"/>
          </w:rPr>
          <w:t>https://www.sberbank.ru/common/img/uploaded/files/shtrih-kod-standart.pdf</w:t>
        </w:r>
      </w:hyperlink>
      <w:r w:rsidR="007F4541" w:rsidRPr="007F4541">
        <w:rPr>
          <w:rFonts w:ascii="Verdana" w:hAnsi="Verdana"/>
          <w:color w:val="000000"/>
          <w:sz w:val="20"/>
          <w:szCs w:val="20"/>
        </w:rPr>
        <w:t>.</w:t>
      </w:r>
    </w:p>
    <w:p w:rsidR="009A7F77" w:rsidRDefault="001226EB" w:rsidP="00B21806">
      <w:r>
        <w:t xml:space="preserve">Сильной стороной данного стандарта является </w:t>
      </w:r>
      <w:r w:rsidR="009A7F77">
        <w:t>возможность закодировать самые разные показатели (теги)</w:t>
      </w:r>
      <w:r w:rsidR="008374FF">
        <w:t xml:space="preserve"> платежа</w:t>
      </w:r>
      <w:r w:rsidR="009A7F77">
        <w:t xml:space="preserve"> в </w:t>
      </w:r>
      <w:proofErr w:type="spellStart"/>
      <w:proofErr w:type="gramStart"/>
      <w:r w:rsidR="009A7F77">
        <w:t>штрих-коде</w:t>
      </w:r>
      <w:proofErr w:type="spellEnd"/>
      <w:proofErr w:type="gramEnd"/>
      <w:r w:rsidR="009A7F77">
        <w:t>.</w:t>
      </w:r>
    </w:p>
    <w:p w:rsidR="001226EB" w:rsidRPr="009A7F77" w:rsidRDefault="009A7F77" w:rsidP="00B21806">
      <w:r>
        <w:t xml:space="preserve">Это же является и одной из сложностей: ПО должно уметь сохранить в своей БД очень разные документы, с различным набором тегов. Также должна быть возможность выгружать принятые платежи </w:t>
      </w:r>
      <w:r w:rsidR="00584AA9">
        <w:t>во внешние файлы различных форматов, с разным набором полей и тегов – в соответствии с потребностями каждого ПУ.</w:t>
      </w:r>
    </w:p>
    <w:p w:rsidR="00B21806" w:rsidRPr="008C3891" w:rsidRDefault="00B21806" w:rsidP="00B21806">
      <w:r>
        <w:t>«</w:t>
      </w:r>
      <w:proofErr w:type="spellStart"/>
      <w:r>
        <w:t>Биллинг</w:t>
      </w:r>
      <w:proofErr w:type="spellEnd"/>
      <w:r>
        <w:t xml:space="preserve"> </w:t>
      </w:r>
      <w:r w:rsidRPr="00682AB9">
        <w:t>2</w:t>
      </w:r>
      <w:r>
        <w:rPr>
          <w:lang w:val="en-US"/>
        </w:rPr>
        <w:t>D</w:t>
      </w:r>
      <w:r>
        <w:t>»</w:t>
      </w:r>
      <w:r w:rsidRPr="00B21806">
        <w:t xml:space="preserve"> </w:t>
      </w:r>
      <w:r>
        <w:t>позволяет операционным работникам банка принимать и быстро и безошибочно обрабатывать квитанции с ДШ</w:t>
      </w:r>
      <w:r w:rsidR="00584AA9">
        <w:t>К, а также выполняет все требования, заявленные выше.</w:t>
      </w:r>
    </w:p>
    <w:p w:rsidR="00B21806" w:rsidRDefault="00F5571A" w:rsidP="00B21806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>
            <wp:extent cx="2524760" cy="18288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C0" w:rsidRPr="003434C0" w:rsidRDefault="003434C0" w:rsidP="00B21806">
      <w:r w:rsidRPr="003434C0">
        <w:t>Рис. 2</w:t>
      </w:r>
    </w:p>
    <w:p w:rsidR="00584AA9" w:rsidRPr="00F617B3" w:rsidRDefault="00584AA9" w:rsidP="00B21806">
      <w:pPr>
        <w:rPr>
          <w:rFonts w:ascii="Verdana" w:hAnsi="Verdana"/>
          <w:color w:val="000000"/>
        </w:rPr>
      </w:pPr>
    </w:p>
    <w:p w:rsidR="00B21806" w:rsidRDefault="008F0A03" w:rsidP="00B21806">
      <w:r>
        <w:lastRenderedPageBreak/>
        <w:t>При работе</w:t>
      </w:r>
      <w:r w:rsidR="00F56BA3">
        <w:t xml:space="preserve"> </w:t>
      </w:r>
      <w:r w:rsidR="00F617B3">
        <w:t xml:space="preserve">ПО </w:t>
      </w:r>
      <w:r w:rsidR="00F56BA3">
        <w:t>«</w:t>
      </w:r>
      <w:proofErr w:type="spellStart"/>
      <w:r w:rsidR="00F56BA3">
        <w:t>Биллинг</w:t>
      </w:r>
      <w:proofErr w:type="spellEnd"/>
      <w:r w:rsidR="00F56BA3">
        <w:t xml:space="preserve"> 2</w:t>
      </w:r>
      <w:r w:rsidR="00F56BA3">
        <w:rPr>
          <w:lang w:val="en-US"/>
        </w:rPr>
        <w:t>D</w:t>
      </w:r>
      <w:r w:rsidR="00F56BA3">
        <w:t>»</w:t>
      </w:r>
      <w:r w:rsidR="00F56BA3" w:rsidRPr="00F56BA3">
        <w:t xml:space="preserve"> </w:t>
      </w:r>
      <w:r w:rsidR="00584AA9">
        <w:t>использ</w:t>
      </w:r>
      <w:r w:rsidR="003434C0">
        <w:t>уются</w:t>
      </w:r>
      <w:r w:rsidR="00F56BA3">
        <w:t xml:space="preserve"> сканеры для считывания </w:t>
      </w:r>
      <w:proofErr w:type="spellStart"/>
      <w:proofErr w:type="gramStart"/>
      <w:r w:rsidR="00F56BA3">
        <w:t>штрих-кодов</w:t>
      </w:r>
      <w:proofErr w:type="spellEnd"/>
      <w:proofErr w:type="gramEnd"/>
      <w:r w:rsidR="00F56BA3">
        <w:t>. Информация о сканерах приведена в следующем разделе.</w:t>
      </w:r>
    </w:p>
    <w:p w:rsidR="007E6A97" w:rsidRDefault="007E6A97" w:rsidP="00450077">
      <w:pPr>
        <w:pStyle w:val="1"/>
      </w:pPr>
      <w:bookmarkStart w:id="5" w:name="_Toc421199505"/>
      <w:r>
        <w:t xml:space="preserve">Сканеры </w:t>
      </w:r>
      <w:proofErr w:type="spellStart"/>
      <w:proofErr w:type="gramStart"/>
      <w:r>
        <w:t>штрих-кодов</w:t>
      </w:r>
      <w:bookmarkEnd w:id="5"/>
      <w:proofErr w:type="spellEnd"/>
      <w:proofErr w:type="gramEnd"/>
    </w:p>
    <w:p w:rsidR="007E1015" w:rsidRPr="00724189" w:rsidRDefault="007E1015" w:rsidP="007E1015">
      <w:r w:rsidRPr="00724189">
        <w:t>Дл</w:t>
      </w:r>
      <w:r>
        <w:t xml:space="preserve">я организации рабочего места подойдут любые сканеры </w:t>
      </w:r>
      <w:proofErr w:type="spellStart"/>
      <w:proofErr w:type="gramStart"/>
      <w:r>
        <w:t>штрих-кодов</w:t>
      </w:r>
      <w:proofErr w:type="spellEnd"/>
      <w:proofErr w:type="gramEnd"/>
      <w:r>
        <w:t xml:space="preserve">, в спецификации которых декларируется поддержка двухмерных кодировок - </w:t>
      </w:r>
      <w:r>
        <w:rPr>
          <w:lang w:val="en-US"/>
        </w:rPr>
        <w:t>Aztec</w:t>
      </w:r>
      <w:r w:rsidRPr="00724189">
        <w:t xml:space="preserve">, </w:t>
      </w:r>
      <w:r>
        <w:rPr>
          <w:lang w:val="en-US"/>
        </w:rPr>
        <w:t>Data</w:t>
      </w:r>
      <w:r w:rsidRPr="00724189">
        <w:t xml:space="preserve"> </w:t>
      </w:r>
      <w:r>
        <w:rPr>
          <w:lang w:val="en-US"/>
        </w:rPr>
        <w:t>Matrix</w:t>
      </w:r>
      <w:r w:rsidRPr="00724189">
        <w:t xml:space="preserve">, </w:t>
      </w:r>
      <w:r>
        <w:rPr>
          <w:lang w:val="en-US"/>
        </w:rPr>
        <w:t>QR</w:t>
      </w:r>
      <w:r w:rsidRPr="00724189">
        <w:t xml:space="preserve"> </w:t>
      </w:r>
      <w:r>
        <w:rPr>
          <w:lang w:val="en-US"/>
        </w:rPr>
        <w:t>Code</w:t>
      </w:r>
      <w:r>
        <w:t>: «</w:t>
      </w:r>
      <w:r>
        <w:rPr>
          <w:lang w:val="en-US"/>
        </w:rPr>
        <w:t>Gryphon</w:t>
      </w:r>
      <w:r w:rsidRPr="00724189">
        <w:t xml:space="preserve"> </w:t>
      </w:r>
      <w:proofErr w:type="spellStart"/>
      <w:r>
        <w:rPr>
          <w:lang w:val="en-US"/>
        </w:rPr>
        <w:t>Datalogic</w:t>
      </w:r>
      <w:proofErr w:type="spellEnd"/>
      <w:r w:rsidRPr="00724189">
        <w:t xml:space="preserve"> 4400</w:t>
      </w:r>
      <w:r>
        <w:t>»</w:t>
      </w:r>
      <w:r w:rsidRPr="00724189">
        <w:t xml:space="preserve">, </w:t>
      </w:r>
      <w:r>
        <w:t>«</w:t>
      </w:r>
      <w:hyperlink r:id="rId13" w:history="1">
        <w:r w:rsidRPr="00724189">
          <w:rPr>
            <w:lang w:val="en-US"/>
          </w:rPr>
          <w:t>VMC</w:t>
        </w:r>
        <w:r w:rsidRPr="00724189">
          <w:t xml:space="preserve"> </w:t>
        </w:r>
        <w:proofErr w:type="spellStart"/>
        <w:r w:rsidRPr="00724189">
          <w:rPr>
            <w:lang w:val="en-US"/>
          </w:rPr>
          <w:t>BurstScan</w:t>
        </w:r>
        <w:proofErr w:type="spellEnd"/>
        <w:r w:rsidRPr="00724189">
          <w:t xml:space="preserve"> </w:t>
        </w:r>
        <w:r w:rsidRPr="00724189">
          <w:rPr>
            <w:lang w:val="en-US"/>
          </w:rPr>
          <w:t>II</w:t>
        </w:r>
      </w:hyperlink>
      <w:r>
        <w:t>»</w:t>
      </w:r>
      <w:r w:rsidRPr="00724189">
        <w:t xml:space="preserve">, </w:t>
      </w:r>
      <w:r>
        <w:t>«</w:t>
      </w:r>
      <w:r w:rsidRPr="00724189">
        <w:rPr>
          <w:lang w:val="en-US"/>
        </w:rPr>
        <w:t>HHP</w:t>
      </w:r>
      <w:r w:rsidRPr="00724189">
        <w:t xml:space="preserve"> 4600 2</w:t>
      </w:r>
      <w:r w:rsidRPr="00724189">
        <w:rPr>
          <w:lang w:val="en-US"/>
        </w:rPr>
        <w:t>D</w:t>
      </w:r>
      <w:r>
        <w:t>»…</w:t>
      </w:r>
    </w:p>
    <w:p w:rsidR="007E1015" w:rsidRPr="007E1015" w:rsidRDefault="007E1015" w:rsidP="007E1015"/>
    <w:p w:rsidR="007E1015" w:rsidRPr="009952AF" w:rsidRDefault="00F5571A" w:rsidP="007E1015">
      <w:r>
        <w:rPr>
          <w:noProof/>
          <w:lang w:eastAsia="ru-RU"/>
        </w:rPr>
        <w:drawing>
          <wp:inline distT="0" distB="0" distL="0" distR="0">
            <wp:extent cx="955040" cy="955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5040" cy="955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15" w:rsidRPr="0017160A" w:rsidRDefault="007E1015" w:rsidP="007E1015">
      <w:r>
        <w:t>Чаще всего используются ручные сканеры «пистолетного» типа; некоторые модели оснащаются крепежом (штатив, струбцина для крепления к краю стола), что позволяет освободить руки для работы контролёра.</w:t>
      </w:r>
      <w:r w:rsidRPr="00F00220">
        <w:t xml:space="preserve"> </w:t>
      </w:r>
      <w:r>
        <w:t>Сканеры покупаются отдельно.</w:t>
      </w:r>
    </w:p>
    <w:p w:rsidR="007E1015" w:rsidRDefault="007E1015" w:rsidP="007E1015">
      <w:r>
        <w:t>По способу подключения к компьютеру сканеры подразделяются на три типа:</w:t>
      </w:r>
    </w:p>
    <w:p w:rsidR="007E1015" w:rsidRDefault="007E1015" w:rsidP="007E1015">
      <w:pPr>
        <w:numPr>
          <w:ilvl w:val="0"/>
          <w:numId w:val="9"/>
        </w:numPr>
      </w:pPr>
      <w:r>
        <w:t>Включаемые в разъём клавиатуры;</w:t>
      </w:r>
    </w:p>
    <w:p w:rsidR="007E1015" w:rsidRPr="007E1015" w:rsidRDefault="007E1015" w:rsidP="007E1015">
      <w:pPr>
        <w:numPr>
          <w:ilvl w:val="0"/>
          <w:numId w:val="9"/>
        </w:numPr>
        <w:rPr>
          <w:b/>
        </w:rPr>
      </w:pPr>
      <w:proofErr w:type="gramStart"/>
      <w:r w:rsidRPr="007E1015">
        <w:rPr>
          <w:b/>
        </w:rPr>
        <w:t>Включаемые</w:t>
      </w:r>
      <w:proofErr w:type="gramEnd"/>
      <w:r w:rsidRPr="007E1015">
        <w:rPr>
          <w:b/>
        </w:rPr>
        <w:t xml:space="preserve"> в </w:t>
      </w:r>
      <w:r w:rsidRPr="007E1015">
        <w:rPr>
          <w:b/>
          <w:lang w:val="en-US"/>
        </w:rPr>
        <w:t>COM-</w:t>
      </w:r>
      <w:r w:rsidRPr="007E1015">
        <w:rPr>
          <w:b/>
        </w:rPr>
        <w:t>порт;</w:t>
      </w:r>
    </w:p>
    <w:p w:rsidR="007E1015" w:rsidRPr="00F00220" w:rsidRDefault="007E1015" w:rsidP="007E1015">
      <w:pPr>
        <w:numPr>
          <w:ilvl w:val="0"/>
          <w:numId w:val="9"/>
        </w:numPr>
      </w:pPr>
      <w:proofErr w:type="gramStart"/>
      <w:r w:rsidRPr="007E1015">
        <w:rPr>
          <w:b/>
        </w:rPr>
        <w:t>Включаемые</w:t>
      </w:r>
      <w:proofErr w:type="gramEnd"/>
      <w:r w:rsidRPr="007E1015">
        <w:rPr>
          <w:b/>
        </w:rPr>
        <w:t xml:space="preserve"> в порт </w:t>
      </w:r>
      <w:r w:rsidRPr="007E1015">
        <w:rPr>
          <w:b/>
          <w:lang w:val="en-US"/>
        </w:rPr>
        <w:t>USB.</w:t>
      </w:r>
    </w:p>
    <w:p w:rsidR="007E1015" w:rsidRPr="008C3891" w:rsidRDefault="007E1015" w:rsidP="007E1015">
      <w:r>
        <w:t xml:space="preserve">Последний вариант в итоге сводится к эмуляции одного из первых двух режимов: будет имитироваться работа сканера либо через буфер клавиатуры, либо через </w:t>
      </w:r>
      <w:r>
        <w:rPr>
          <w:lang w:val="en-US"/>
        </w:rPr>
        <w:t>COM</w:t>
      </w:r>
      <w:r w:rsidRPr="00CC33F4">
        <w:t>-</w:t>
      </w:r>
      <w:r>
        <w:t>порт.</w:t>
      </w:r>
    </w:p>
    <w:p w:rsidR="007E1015" w:rsidRPr="007E1015" w:rsidRDefault="007E1015" w:rsidP="007E1015">
      <w:r>
        <w:t>Для функционирования «</w:t>
      </w:r>
      <w:proofErr w:type="spellStart"/>
      <w:r>
        <w:t>Биллинг</w:t>
      </w:r>
      <w:proofErr w:type="spellEnd"/>
      <w:r>
        <w:t xml:space="preserve"> 2</w:t>
      </w:r>
      <w:r>
        <w:rPr>
          <w:lang w:val="en-US"/>
        </w:rPr>
        <w:t>D</w:t>
      </w:r>
      <w:r>
        <w:t>» подходят последние два варианта.</w:t>
      </w:r>
    </w:p>
    <w:p w:rsidR="007E1015" w:rsidRPr="008C3891" w:rsidRDefault="007E1015" w:rsidP="007E1015"/>
    <w:p w:rsidR="007E1015" w:rsidRPr="000976E9" w:rsidRDefault="007E1015" w:rsidP="007E1015">
      <w:r>
        <w:t xml:space="preserve">Если в вашем компьютере присутствует физический </w:t>
      </w:r>
      <w:r>
        <w:rPr>
          <w:lang w:val="en-US"/>
        </w:rPr>
        <w:t>COM</w:t>
      </w:r>
      <w:r w:rsidRPr="004B456F">
        <w:t>-</w:t>
      </w:r>
      <w:r>
        <w:t>порт, имеет смысл приобрести сканеры с разъёмом, включаемым в такой порт.</w:t>
      </w:r>
    </w:p>
    <w:p w:rsidR="007E1015" w:rsidRPr="000976E9" w:rsidRDefault="007E1015" w:rsidP="007E1015"/>
    <w:p w:rsidR="007E1015" w:rsidRDefault="00F5571A" w:rsidP="007E1015">
      <w:r>
        <w:rPr>
          <w:noProof/>
          <w:lang w:eastAsia="ru-RU"/>
        </w:rPr>
        <w:drawing>
          <wp:inline distT="0" distB="0" distL="0" distR="0">
            <wp:extent cx="2286000" cy="2286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15" w:rsidRDefault="007E1015" w:rsidP="007E1015">
      <w:pPr>
        <w:rPr>
          <w:lang w:val="en-US"/>
        </w:rPr>
      </w:pPr>
    </w:p>
    <w:p w:rsidR="007E1015" w:rsidRPr="008C3891" w:rsidRDefault="007E1015" w:rsidP="007E1015">
      <w:r>
        <w:t xml:space="preserve">В комплекте с </w:t>
      </w:r>
      <w:r>
        <w:rPr>
          <w:lang w:val="en-US"/>
        </w:rPr>
        <w:t>USB</w:t>
      </w:r>
      <w:r w:rsidRPr="00CC33F4">
        <w:t>-</w:t>
      </w:r>
      <w:r>
        <w:t xml:space="preserve">сканером идёт драйвер, после </w:t>
      </w:r>
      <w:proofErr w:type="gramStart"/>
      <w:r>
        <w:t>установки</w:t>
      </w:r>
      <w:proofErr w:type="gramEnd"/>
      <w:r>
        <w:t xml:space="preserve"> которого в системе будет создан виртуальный </w:t>
      </w:r>
      <w:r>
        <w:rPr>
          <w:lang w:val="en-US"/>
        </w:rPr>
        <w:t>COM</w:t>
      </w:r>
      <w:r w:rsidRPr="00CC33F4">
        <w:t>-</w:t>
      </w:r>
      <w:r>
        <w:t xml:space="preserve">порт. Необходимо в «Диспетчере задач» посмотреть параметры этого порта - см. рис. </w:t>
      </w:r>
      <w:r w:rsidRPr="007E1015">
        <w:t>2.1</w:t>
      </w:r>
      <w:r>
        <w:t xml:space="preserve"> - и выставить такие же значения в режиме «Программа</w:t>
      </w:r>
      <w:r w:rsidRPr="00CC33F4">
        <w:t>/</w:t>
      </w:r>
      <w:r>
        <w:t xml:space="preserve">Настройки программы» на закладке «Сканер </w:t>
      </w:r>
      <w:proofErr w:type="spellStart"/>
      <w:proofErr w:type="gramStart"/>
      <w:r>
        <w:t>штрих-кодов</w:t>
      </w:r>
      <w:proofErr w:type="spellEnd"/>
      <w:proofErr w:type="gramEnd"/>
      <w:r>
        <w:t xml:space="preserve">» - см. рис. </w:t>
      </w:r>
      <w:r w:rsidRPr="007E1015">
        <w:t>2.2</w:t>
      </w:r>
      <w:r>
        <w:t>.</w:t>
      </w:r>
    </w:p>
    <w:p w:rsidR="007E1015" w:rsidRDefault="007E1015" w:rsidP="007E1015">
      <w:r>
        <w:t xml:space="preserve">После этого необходимо перезапустить программу </w:t>
      </w:r>
      <w:r w:rsidRPr="008374FF">
        <w:t>«</w:t>
      </w:r>
      <w:proofErr w:type="spellStart"/>
      <w:r w:rsidRPr="008374FF">
        <w:t>Биллинг</w:t>
      </w:r>
      <w:proofErr w:type="spellEnd"/>
      <w:r w:rsidRPr="008374FF">
        <w:t xml:space="preserve"> 2D»</w:t>
      </w:r>
      <w:r>
        <w:t>.</w:t>
      </w:r>
    </w:p>
    <w:p w:rsidR="007E1015" w:rsidRPr="007E1015" w:rsidRDefault="007E1015" w:rsidP="007E1015"/>
    <w:p w:rsidR="007E1015" w:rsidRDefault="007E1015" w:rsidP="007E1015"/>
    <w:p w:rsidR="007E1015" w:rsidRDefault="00F5571A" w:rsidP="007E1015">
      <w:r>
        <w:rPr>
          <w:noProof/>
          <w:lang w:eastAsia="ru-RU"/>
        </w:rPr>
        <w:lastRenderedPageBreak/>
        <w:drawing>
          <wp:inline distT="0" distB="0" distL="0" distR="0">
            <wp:extent cx="4003040" cy="60655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15" w:rsidRPr="007E1015" w:rsidRDefault="007E1015" w:rsidP="007E1015">
      <w:pPr>
        <w:rPr>
          <w:lang w:val="en-US"/>
        </w:rPr>
      </w:pPr>
      <w:r>
        <w:t xml:space="preserve">рис. </w:t>
      </w:r>
      <w:r>
        <w:rPr>
          <w:lang w:val="en-US"/>
        </w:rPr>
        <w:t>2.1</w:t>
      </w:r>
    </w:p>
    <w:p w:rsidR="007E1015" w:rsidRPr="008374FF" w:rsidRDefault="007E1015" w:rsidP="007E1015"/>
    <w:p w:rsidR="007E1015" w:rsidRDefault="00F5571A" w:rsidP="007E1015">
      <w:pPr>
        <w:rPr>
          <w:lang w:val="en-US"/>
        </w:rPr>
      </w:pPr>
      <w:bookmarkStart w:id="6" w:name="рис_3_2"/>
      <w:r>
        <w:rPr>
          <w:noProof/>
          <w:lang w:eastAsia="ru-RU"/>
        </w:rPr>
        <w:lastRenderedPageBreak/>
        <w:drawing>
          <wp:inline distT="0" distB="0" distL="0" distR="0">
            <wp:extent cx="4175760" cy="30683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8374FF" w:rsidRPr="007E1015" w:rsidRDefault="007E1015" w:rsidP="00F00220">
      <w:pPr>
        <w:rPr>
          <w:lang w:val="en-US"/>
        </w:rPr>
      </w:pPr>
      <w:r>
        <w:t>Рис. 2.</w:t>
      </w:r>
      <w:r>
        <w:rPr>
          <w:lang w:val="en-US"/>
        </w:rPr>
        <w:t>2</w:t>
      </w:r>
    </w:p>
    <w:p w:rsidR="00F00220" w:rsidRPr="00F00220" w:rsidRDefault="00F00220" w:rsidP="00F00220"/>
    <w:p w:rsidR="00450077" w:rsidRDefault="00450077" w:rsidP="00450077">
      <w:pPr>
        <w:pStyle w:val="1"/>
        <w:rPr>
          <w:lang w:val="en-US"/>
        </w:rPr>
      </w:pPr>
      <w:bookmarkStart w:id="7" w:name="_Toc421199506"/>
      <w:r>
        <w:t>Начало работы</w:t>
      </w:r>
      <w:bookmarkEnd w:id="7"/>
    </w:p>
    <w:p w:rsidR="00450077" w:rsidRDefault="007E6A97" w:rsidP="00450077">
      <w:r>
        <w:t>Установка и настройка программы описан</w:t>
      </w:r>
      <w:r w:rsidR="0017160A">
        <w:t>ы в документе «</w:t>
      </w:r>
      <w:hyperlink r:id="rId19" w:history="1">
        <w:r w:rsidR="0017160A" w:rsidRPr="00F617B3">
          <w:rPr>
            <w:rStyle w:val="a6"/>
          </w:rPr>
          <w:t>Руководство администратора</w:t>
        </w:r>
      </w:hyperlink>
      <w:r w:rsidR="0017160A">
        <w:t>».</w:t>
      </w:r>
    </w:p>
    <w:p w:rsidR="00F617B3" w:rsidRPr="008C3891" w:rsidRDefault="00F617B3" w:rsidP="00450077">
      <w:r>
        <w:t xml:space="preserve">Для начала знакомства с программой при регистрации следует указать пользователя «Администратор», т.к. он обладает полным набором прав, что позволит ознакомиться со всем набором функций ПО </w:t>
      </w:r>
      <w:r w:rsidRPr="00F617B3">
        <w:t>«</w:t>
      </w:r>
      <w:proofErr w:type="spellStart"/>
      <w:r w:rsidRPr="00F617B3">
        <w:t>Биллинг</w:t>
      </w:r>
      <w:proofErr w:type="spellEnd"/>
      <w:r w:rsidRPr="00F617B3">
        <w:t xml:space="preserve"> 2D»</w:t>
      </w:r>
      <w:r>
        <w:t>.</w:t>
      </w:r>
    </w:p>
    <w:p w:rsidR="00F617B3" w:rsidRDefault="00F617B3" w:rsidP="00450077">
      <w:r>
        <w:t>Начальный пароль пользователя пустой.</w:t>
      </w:r>
    </w:p>
    <w:p w:rsidR="00F617B3" w:rsidRDefault="00F5571A" w:rsidP="00450077">
      <w:r>
        <w:rPr>
          <w:noProof/>
          <w:lang w:eastAsia="ru-RU"/>
        </w:rPr>
        <w:drawing>
          <wp:inline distT="0" distB="0" distL="0" distR="0">
            <wp:extent cx="2809240" cy="13411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B3" w:rsidRDefault="00F617B3" w:rsidP="00450077">
      <w:r>
        <w:t>Рис.</w:t>
      </w:r>
      <w:r w:rsidR="006121C8">
        <w:t xml:space="preserve"> 3.1</w:t>
      </w:r>
    </w:p>
    <w:p w:rsidR="00F617B3" w:rsidRDefault="00F617B3" w:rsidP="00450077"/>
    <w:p w:rsidR="00F617B3" w:rsidRDefault="00F617B3" w:rsidP="00F617B3">
      <w:pPr>
        <w:pStyle w:val="1"/>
      </w:pPr>
      <w:bookmarkStart w:id="8" w:name="_Toc421199507"/>
      <w:r>
        <w:t>Знакомство с принципами и функционалом</w:t>
      </w:r>
      <w:bookmarkEnd w:id="8"/>
    </w:p>
    <w:p w:rsidR="00BD69B9" w:rsidRDefault="00BD69B9" w:rsidP="00BD69B9">
      <w:pPr>
        <w:pStyle w:val="2"/>
      </w:pPr>
      <w:bookmarkStart w:id="9" w:name="_Toc421199508"/>
      <w:r>
        <w:t>Справочники</w:t>
      </w:r>
      <w:bookmarkEnd w:id="9"/>
    </w:p>
    <w:p w:rsidR="00F617B3" w:rsidRDefault="00F617B3" w:rsidP="00F617B3">
      <w:r>
        <w:t>Для обеспечения функционирования программы существует категория справочной информации. Рассмотрим пункт меню «Справочники».</w:t>
      </w:r>
    </w:p>
    <w:p w:rsidR="0060586C" w:rsidRPr="008C3891" w:rsidRDefault="00F617B3" w:rsidP="00C80268">
      <w:r w:rsidRPr="00C80268">
        <w:rPr>
          <w:b/>
          <w:color w:val="4F81BD"/>
        </w:rPr>
        <w:t>Администрирование пользователей</w:t>
      </w:r>
      <w:r>
        <w:t xml:space="preserve"> </w:t>
      </w:r>
      <w:r w:rsidR="00C80268" w:rsidRPr="00C80268">
        <w:t xml:space="preserve">позволяет добавлять/редактировать пользователей программы, а также задать их права доступа к функциям программы. </w:t>
      </w:r>
    </w:p>
    <w:p w:rsidR="0060586C" w:rsidRPr="008C3891" w:rsidRDefault="0060586C" w:rsidP="00C80268"/>
    <w:p w:rsidR="00C80268" w:rsidRDefault="00F5571A" w:rsidP="00C80268">
      <w:r>
        <w:rPr>
          <w:noProof/>
          <w:lang w:eastAsia="ru-RU"/>
        </w:rPr>
        <w:lastRenderedPageBreak/>
        <w:drawing>
          <wp:inline distT="0" distB="0" distL="0" distR="0">
            <wp:extent cx="4475480" cy="344932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68" w:rsidRDefault="00C80268" w:rsidP="00C80268">
      <w:r>
        <w:t>Рис.</w:t>
      </w:r>
      <w:r w:rsidR="006121C8">
        <w:t xml:space="preserve"> 4.1</w:t>
      </w:r>
    </w:p>
    <w:p w:rsidR="00C80268" w:rsidRDefault="00C80268" w:rsidP="00C80268"/>
    <w:p w:rsidR="00C80268" w:rsidRDefault="00C80268" w:rsidP="00C80268">
      <w:r>
        <w:t>В «</w:t>
      </w:r>
      <w:r w:rsidRPr="00A01275">
        <w:rPr>
          <w:b/>
          <w:color w:val="4F81BD"/>
        </w:rPr>
        <w:t>Справочнике типов</w:t>
      </w:r>
      <w:r>
        <w:t xml:space="preserve">» заведены все виды тегов (полей), которые могут встретиться в </w:t>
      </w:r>
      <w:proofErr w:type="spellStart"/>
      <w:proofErr w:type="gramStart"/>
      <w:r>
        <w:t>штрих-коде</w:t>
      </w:r>
      <w:proofErr w:type="spellEnd"/>
      <w:proofErr w:type="gramEnd"/>
      <w:r w:rsidRPr="00C80268">
        <w:t xml:space="preserve"> </w:t>
      </w:r>
      <w:r>
        <w:t xml:space="preserve">– см. рис. </w:t>
      </w:r>
      <w:r w:rsidR="006121C8">
        <w:t>4.2</w:t>
      </w:r>
      <w:r w:rsidR="0060586C">
        <w:t>, согласно стандарта</w:t>
      </w:r>
      <w:r>
        <w:t>.</w:t>
      </w:r>
    </w:p>
    <w:p w:rsidR="00C80268" w:rsidRPr="008C3891" w:rsidRDefault="00C80268" w:rsidP="00C80268">
      <w:r>
        <w:t>Теоретически, этот справочник открыт для редактирования, но делать это следует, понимая, что изменения этой категории справочной информации регламентируются стандартом.</w:t>
      </w:r>
    </w:p>
    <w:p w:rsidR="00C80268" w:rsidRDefault="00F5571A" w:rsidP="00C80268">
      <w:r>
        <w:rPr>
          <w:noProof/>
          <w:lang w:eastAsia="ru-RU"/>
        </w:rPr>
        <w:lastRenderedPageBreak/>
        <w:drawing>
          <wp:inline distT="0" distB="0" distL="0" distR="0">
            <wp:extent cx="5212080" cy="743204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74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68" w:rsidRPr="006121C8" w:rsidRDefault="00C80268" w:rsidP="00C80268">
      <w:r>
        <w:t>Рис.</w:t>
      </w:r>
      <w:r w:rsidR="006121C8">
        <w:t xml:space="preserve"> 4.2</w:t>
      </w:r>
    </w:p>
    <w:p w:rsidR="00A01275" w:rsidRPr="006121C8" w:rsidRDefault="00A01275" w:rsidP="00C80268"/>
    <w:p w:rsidR="00A01275" w:rsidRDefault="00A01275" w:rsidP="00C80268">
      <w:r>
        <w:t>Третья категория справочной информации – «</w:t>
      </w:r>
      <w:r w:rsidRPr="00A01275">
        <w:rPr>
          <w:b/>
          <w:color w:val="4F81BD"/>
        </w:rPr>
        <w:t>Организации</w:t>
      </w:r>
      <w:r>
        <w:t>»</w:t>
      </w:r>
      <w:r w:rsidR="00BD69B9">
        <w:t xml:space="preserve"> - </w:t>
      </w:r>
      <w:proofErr w:type="gramStart"/>
      <w:r w:rsidR="00BD69B9">
        <w:t>см</w:t>
      </w:r>
      <w:proofErr w:type="gramEnd"/>
      <w:r w:rsidR="00BD69B9">
        <w:t xml:space="preserve">. рис. </w:t>
      </w:r>
      <w:r w:rsidR="006121C8">
        <w:t>4.3</w:t>
      </w:r>
      <w:r>
        <w:t xml:space="preserve">. Этот справочник заполняется автоматически: при считывании </w:t>
      </w:r>
      <w:proofErr w:type="spellStart"/>
      <w:proofErr w:type="gramStart"/>
      <w:r>
        <w:t>штрих-кодов</w:t>
      </w:r>
      <w:proofErr w:type="spellEnd"/>
      <w:proofErr w:type="gramEnd"/>
      <w:r>
        <w:t xml:space="preserve"> с квитанций информация об организации – составителе квитанции попадает в базу данных без всяких усилий со стороны оператора.</w:t>
      </w:r>
    </w:p>
    <w:p w:rsidR="00A01275" w:rsidRDefault="00F5571A" w:rsidP="00C80268">
      <w:r>
        <w:rPr>
          <w:noProof/>
          <w:lang w:eastAsia="ru-RU"/>
        </w:rPr>
        <w:lastRenderedPageBreak/>
        <w:drawing>
          <wp:inline distT="0" distB="0" distL="0" distR="0">
            <wp:extent cx="5938520" cy="3881120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75" w:rsidRDefault="00A01275" w:rsidP="00C80268">
      <w:r>
        <w:t>Рис.</w:t>
      </w:r>
      <w:r w:rsidR="006121C8">
        <w:t xml:space="preserve"> 4.3</w:t>
      </w:r>
    </w:p>
    <w:p w:rsidR="00A01275" w:rsidRDefault="00A01275" w:rsidP="00C80268"/>
    <w:p w:rsidR="00A01275" w:rsidRDefault="00A01275" w:rsidP="00C80268">
      <w:r>
        <w:t>Итак, справочная информация – это основа, базис. Каждый введённый (отсканированный) платёж привязывается к записям из справочников.</w:t>
      </w:r>
    </w:p>
    <w:p w:rsidR="00A01275" w:rsidRDefault="00A01275" w:rsidP="00C80268"/>
    <w:p w:rsidR="00BD69B9" w:rsidRDefault="00BD69B9" w:rsidP="00BD69B9">
      <w:pPr>
        <w:pStyle w:val="2"/>
      </w:pPr>
      <w:bookmarkStart w:id="10" w:name="_Toc421199509"/>
      <w:r>
        <w:t>Сканирование квитанций</w:t>
      </w:r>
      <w:bookmarkEnd w:id="10"/>
    </w:p>
    <w:p w:rsidR="00A01275" w:rsidRDefault="00A01275" w:rsidP="00C80268">
      <w:r>
        <w:t>Если используется сканер, включенный в разъём клавиатуры</w:t>
      </w:r>
      <w:r w:rsidR="00BD69B9">
        <w:t>, то на панели присутствует кнопка со стилизованным изображением ДШК (под пунктом меню «Программа»).</w:t>
      </w:r>
    </w:p>
    <w:p w:rsidR="00BD69B9" w:rsidRDefault="00BD69B9" w:rsidP="00C80268">
      <w:r>
        <w:t>При нажатии на неё открывается окно (</w:t>
      </w:r>
      <w:proofErr w:type="gramStart"/>
      <w:r>
        <w:t>см</w:t>
      </w:r>
      <w:proofErr w:type="gramEnd"/>
      <w:r>
        <w:t xml:space="preserve">. рис. </w:t>
      </w:r>
      <w:r w:rsidR="006121C8">
        <w:t>5.1</w:t>
      </w:r>
      <w:r>
        <w:t>); при срабатывании сканера информация, принятая с него, появится в строке ввода, после чего будет разобрана по тегам; в нижней табличке будут показаны все теги документа.</w:t>
      </w:r>
    </w:p>
    <w:p w:rsidR="00BD69B9" w:rsidRPr="008C3891" w:rsidRDefault="00BD69B9" w:rsidP="00BD69B9">
      <w:r>
        <w:t>При этом каждый считанный документ будет добавлен в базу данных и отображён в главном окне программы на закладке «Платежи».</w:t>
      </w:r>
    </w:p>
    <w:p w:rsidR="002B04A4" w:rsidRPr="008C3891" w:rsidRDefault="002B04A4" w:rsidP="00BD69B9"/>
    <w:p w:rsidR="002B04A4" w:rsidRDefault="002B04A4" w:rsidP="00BD69B9">
      <w:r>
        <w:t>Если использовать сканер, включаемый в</w:t>
      </w:r>
      <w:r w:rsidR="0060586C" w:rsidRPr="0060586C">
        <w:t xml:space="preserve"> </w:t>
      </w:r>
      <w:r>
        <w:rPr>
          <w:lang w:val="en-US"/>
        </w:rPr>
        <w:t>COM</w:t>
      </w:r>
      <w:r w:rsidRPr="002B04A4">
        <w:t>-</w:t>
      </w:r>
      <w:r>
        <w:t>порт, то сканирование осуществляется прозрачно, прямо в «главном окне» приложения.</w:t>
      </w:r>
    </w:p>
    <w:p w:rsidR="002B04A4" w:rsidRPr="0060586C" w:rsidRDefault="002B04A4" w:rsidP="00BD69B9">
      <w:r>
        <w:t xml:space="preserve">Квитанции для тестового сканирования можно скачать здесь: </w:t>
      </w:r>
      <w:hyperlink r:id="rId24" w:history="1">
        <w:r w:rsidRPr="00ED4BDE">
          <w:rPr>
            <w:rStyle w:val="a6"/>
          </w:rPr>
          <w:t>http://billing2d.asksoft.net/Doc/scan.pdf</w:t>
        </w:r>
      </w:hyperlink>
      <w:r w:rsidRPr="0060586C">
        <w:t xml:space="preserve"> </w:t>
      </w:r>
    </w:p>
    <w:p w:rsidR="00351832" w:rsidRDefault="00351832" w:rsidP="00351832">
      <w:pPr>
        <w:pStyle w:val="2"/>
      </w:pPr>
      <w:bookmarkStart w:id="11" w:name="_Toc421199510"/>
      <w:r>
        <w:t>Тестовая загрузка платежей</w:t>
      </w:r>
      <w:bookmarkEnd w:id="11"/>
    </w:p>
    <w:p w:rsidR="00BD69B9" w:rsidRDefault="00BD69B9" w:rsidP="00BD69B9">
      <w:r>
        <w:t xml:space="preserve">Если вы пока не приобрели сканер </w:t>
      </w:r>
      <w:proofErr w:type="spellStart"/>
      <w:proofErr w:type="gramStart"/>
      <w:r>
        <w:t>штрих-кодов</w:t>
      </w:r>
      <w:proofErr w:type="spellEnd"/>
      <w:proofErr w:type="gramEnd"/>
      <w:r>
        <w:t xml:space="preserve">, но требуется проверить функциональность программы, к вашим услугам закладка «Тестовая загрузка» - см. рис. </w:t>
      </w:r>
      <w:r w:rsidR="006121C8">
        <w:t>6.1</w:t>
      </w:r>
      <w:r>
        <w:t>.</w:t>
      </w:r>
    </w:p>
    <w:p w:rsidR="00351832" w:rsidRDefault="00351832" w:rsidP="00BD69B9">
      <w:r>
        <w:t xml:space="preserve">Здесь есть возможность загрузить несколько платежей (квитанций) из внешнего файла. Каждая строка этого файла сформирована в соответствии со </w:t>
      </w:r>
      <w:hyperlink r:id="rId25" w:history="1">
        <w:r w:rsidRPr="00351832">
          <w:rPr>
            <w:rStyle w:val="a6"/>
          </w:rPr>
          <w:t>стандартом</w:t>
        </w:r>
      </w:hyperlink>
      <w:r>
        <w:t>.</w:t>
      </w:r>
    </w:p>
    <w:p w:rsidR="00351832" w:rsidRPr="008C3891" w:rsidRDefault="00351832" w:rsidP="00BD69B9">
      <w:r>
        <w:t>В составе дистрибутива программы такой файл поставляется; вы можете редактировать и дополнять его.</w:t>
      </w:r>
    </w:p>
    <w:p w:rsidR="00351832" w:rsidRPr="00351832" w:rsidRDefault="00351832" w:rsidP="00BD69B9">
      <w:r>
        <w:lastRenderedPageBreak/>
        <w:t xml:space="preserve">При нажатии на кнопку «Выполнить» все платежи из этого файла </w:t>
      </w:r>
      <w:proofErr w:type="gramStart"/>
      <w:r>
        <w:t>будут загружены в базу данных и в дальнейшем</w:t>
      </w:r>
      <w:proofErr w:type="gramEnd"/>
      <w:r>
        <w:t xml:space="preserve"> будут обрабатываться стандартным образом.</w:t>
      </w:r>
    </w:p>
    <w:p w:rsidR="00BD69B9" w:rsidRDefault="00F5571A" w:rsidP="00C80268">
      <w:r>
        <w:rPr>
          <w:noProof/>
          <w:lang w:eastAsia="ru-RU"/>
        </w:rPr>
        <w:drawing>
          <wp:inline distT="0" distB="0" distL="0" distR="0">
            <wp:extent cx="4886960" cy="3002280"/>
            <wp:effectExtent l="1905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B9" w:rsidRDefault="00BD69B9" w:rsidP="00C80268">
      <w:r>
        <w:t>Рис.</w:t>
      </w:r>
      <w:r w:rsidR="006121C8">
        <w:t xml:space="preserve"> 5.1</w:t>
      </w:r>
    </w:p>
    <w:p w:rsidR="00BD69B9" w:rsidRDefault="00BD69B9" w:rsidP="00C80268"/>
    <w:p w:rsidR="00BD69B9" w:rsidRDefault="00F5571A" w:rsidP="00C80268">
      <w:r>
        <w:rPr>
          <w:noProof/>
          <w:lang w:eastAsia="ru-RU"/>
        </w:rPr>
        <w:drawing>
          <wp:inline distT="0" distB="0" distL="0" distR="0">
            <wp:extent cx="4886960" cy="300228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B9" w:rsidRDefault="00BD69B9" w:rsidP="00C80268">
      <w:r>
        <w:t>Рис.</w:t>
      </w:r>
      <w:r w:rsidR="006121C8">
        <w:t xml:space="preserve"> 6.1</w:t>
      </w:r>
    </w:p>
    <w:p w:rsidR="00BD69B9" w:rsidRDefault="00BD69B9" w:rsidP="00C80268"/>
    <w:p w:rsidR="00BD69B9" w:rsidRDefault="00351832" w:rsidP="00351832">
      <w:pPr>
        <w:pStyle w:val="2"/>
      </w:pPr>
      <w:bookmarkStart w:id="12" w:name="_Toc421199511"/>
      <w:r>
        <w:t>Выгрузка в банковскую систему</w:t>
      </w:r>
      <w:bookmarkEnd w:id="12"/>
    </w:p>
    <w:p w:rsidR="00351832" w:rsidRPr="005D634F" w:rsidRDefault="00351832" w:rsidP="00351832">
      <w:r>
        <w:t>В главном окне программы на закладке «Платежи» можно сформировать любую выборку документов по условиям, которые указываются при нажатии на кнопку «</w:t>
      </w:r>
      <w:r w:rsidR="00F5571A">
        <w:rPr>
          <w:noProof/>
          <w:lang w:eastAsia="ru-RU"/>
        </w:rPr>
        <w:drawing>
          <wp:inline distT="0" distB="0" distL="0" distR="0">
            <wp:extent cx="248920" cy="2387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»</w:t>
      </w:r>
      <w:r w:rsidRPr="00351832">
        <w:t xml:space="preserve"> </w:t>
      </w:r>
      <w:proofErr w:type="gramStart"/>
      <w:r w:rsidR="006121C8">
        <w:t>см</w:t>
      </w:r>
      <w:proofErr w:type="gramEnd"/>
      <w:r w:rsidR="006121C8">
        <w:t>. рис. 7.1</w:t>
      </w:r>
      <w:r>
        <w:t>.</w:t>
      </w:r>
    </w:p>
    <w:p w:rsidR="00351832" w:rsidRDefault="00F5571A" w:rsidP="00351832">
      <w:r>
        <w:rPr>
          <w:noProof/>
          <w:lang w:eastAsia="ru-RU"/>
        </w:rPr>
        <w:lastRenderedPageBreak/>
        <w:drawing>
          <wp:inline distT="0" distB="0" distL="0" distR="0">
            <wp:extent cx="4886960" cy="302768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32" w:rsidRPr="008C3891" w:rsidRDefault="006121C8" w:rsidP="00351832">
      <w:r>
        <w:t>Рис. 7.1</w:t>
      </w:r>
    </w:p>
    <w:p w:rsidR="005D634F" w:rsidRPr="008C3891" w:rsidRDefault="005D634F" w:rsidP="00351832"/>
    <w:p w:rsidR="005D634F" w:rsidRDefault="005D634F" w:rsidP="00351832">
      <w:r>
        <w:t>Сформированную выборку можно распечатать, сформировав реестр (кнопка «</w:t>
      </w:r>
      <w:r w:rsidR="00F5571A">
        <w:rPr>
          <w:noProof/>
          <w:lang w:eastAsia="ru-RU"/>
        </w:rPr>
        <w:drawing>
          <wp:inline distT="0" distB="0" distL="0" distR="0">
            <wp:extent cx="2489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»).</w:t>
      </w:r>
    </w:p>
    <w:p w:rsidR="005D634F" w:rsidRPr="005D634F" w:rsidRDefault="005D634F" w:rsidP="00351832">
      <w:r>
        <w:t>Также все документы из этого списка можно выгрузить во внешний файл (кнопка «</w:t>
      </w:r>
      <w:r w:rsidR="00F5571A">
        <w:rPr>
          <w:noProof/>
          <w:lang w:eastAsia="ru-RU"/>
        </w:rPr>
        <w:drawing>
          <wp:inline distT="0" distB="0" distL="0" distR="0">
            <wp:extent cx="238760" cy="238760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»).</w:t>
      </w:r>
    </w:p>
    <w:p w:rsidR="005D634F" w:rsidRDefault="005D634F" w:rsidP="00351832">
      <w:r>
        <w:t xml:space="preserve">Выгрузка возможна в файлы трёх форматов: </w:t>
      </w:r>
      <w:proofErr w:type="gramStart"/>
      <w:r>
        <w:rPr>
          <w:lang w:val="en-US"/>
        </w:rPr>
        <w:t>DBF</w:t>
      </w:r>
      <w:r w:rsidRPr="005D634F">
        <w:t xml:space="preserve">, </w:t>
      </w:r>
      <w:r>
        <w:rPr>
          <w:lang w:val="en-US"/>
        </w:rPr>
        <w:t>MS</w:t>
      </w:r>
      <w:r w:rsidRPr="005D634F">
        <w:t xml:space="preserve"> </w:t>
      </w:r>
      <w:r>
        <w:rPr>
          <w:lang w:val="en-US"/>
        </w:rPr>
        <w:t>Excel</w:t>
      </w:r>
      <w:r w:rsidRPr="005D634F">
        <w:t xml:space="preserve"> </w:t>
      </w:r>
      <w:r>
        <w:t>и текстовый («позиционный» или с разделителями).</w:t>
      </w:r>
      <w:proofErr w:type="gramEnd"/>
    </w:p>
    <w:p w:rsidR="00233A95" w:rsidRPr="00233A95" w:rsidRDefault="00233A95" w:rsidP="00351832">
      <w:r>
        <w:t xml:space="preserve">Различных шаблонов выгрузки может быть множество; Формат, имя файла и место его выгрузки (папка или </w:t>
      </w:r>
      <w:r>
        <w:rPr>
          <w:lang w:val="en-US"/>
        </w:rPr>
        <w:t>FTP</w:t>
      </w:r>
      <w:r w:rsidRPr="00233A95">
        <w:t>-</w:t>
      </w:r>
      <w:r>
        <w:t>сервер) могут быть заданы на закладке «Параметры</w:t>
      </w:r>
      <w:r w:rsidR="006121C8">
        <w:t xml:space="preserve">» шаблона выгрузки – </w:t>
      </w:r>
      <w:proofErr w:type="gramStart"/>
      <w:r w:rsidR="006121C8">
        <w:t>см</w:t>
      </w:r>
      <w:proofErr w:type="gramEnd"/>
      <w:r w:rsidR="006121C8">
        <w:t>. рис. 7.2</w:t>
      </w:r>
      <w:r>
        <w:t>.</w:t>
      </w:r>
    </w:p>
    <w:p w:rsidR="005D634F" w:rsidRDefault="00F5571A" w:rsidP="003518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3440" cy="36372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6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4F" w:rsidRPr="006121C8" w:rsidRDefault="006121C8" w:rsidP="00351832">
      <w:r>
        <w:t>Рис. 7.2</w:t>
      </w:r>
    </w:p>
    <w:p w:rsidR="00233A95" w:rsidRPr="006121C8" w:rsidRDefault="00233A95" w:rsidP="00351832">
      <w:r>
        <w:lastRenderedPageBreak/>
        <w:t xml:space="preserve">Поля документа, которые могут попасть в выгрузку, указываются на закладке </w:t>
      </w:r>
      <w:r w:rsidR="006121C8">
        <w:t xml:space="preserve">«Выгружаемые поля» - </w:t>
      </w:r>
      <w:proofErr w:type="gramStart"/>
      <w:r w:rsidR="006121C8">
        <w:t>см</w:t>
      </w:r>
      <w:proofErr w:type="gramEnd"/>
      <w:r w:rsidR="006121C8">
        <w:t>. рис. 7.3</w:t>
      </w:r>
      <w:r>
        <w:t>.</w:t>
      </w:r>
    </w:p>
    <w:p w:rsidR="00CC14C9" w:rsidRPr="006121C8" w:rsidRDefault="00CC14C9" w:rsidP="00351832"/>
    <w:p w:rsidR="00233A95" w:rsidRDefault="00F5571A" w:rsidP="00351832">
      <w:r>
        <w:rPr>
          <w:noProof/>
          <w:lang w:eastAsia="ru-RU"/>
        </w:rPr>
        <w:drawing>
          <wp:inline distT="0" distB="0" distL="0" distR="0">
            <wp:extent cx="5836920" cy="38658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C9" w:rsidRPr="006121C8" w:rsidRDefault="006121C8" w:rsidP="00351832">
      <w:r>
        <w:t>Рис. 7.3</w:t>
      </w:r>
    </w:p>
    <w:p w:rsidR="00CC14C9" w:rsidRPr="006121C8" w:rsidRDefault="00CC14C9" w:rsidP="00351832"/>
    <w:p w:rsidR="00CC14C9" w:rsidRDefault="00CC14C9" w:rsidP="00351832">
      <w:r>
        <w:t>Собственно, для банковской системы требуется совсем немного информации о платежах: дата приёма документа, сумма, счёт-дебет, счёт-кредит.</w:t>
      </w:r>
    </w:p>
    <w:p w:rsidR="00CC14C9" w:rsidRDefault="00CC14C9" w:rsidP="00351832">
      <w:r>
        <w:t>Создать файл (</w:t>
      </w:r>
      <w:r>
        <w:rPr>
          <w:lang w:val="en-US"/>
        </w:rPr>
        <w:t>DBF</w:t>
      </w:r>
      <w:r w:rsidRPr="00CC14C9">
        <w:t xml:space="preserve">, </w:t>
      </w:r>
      <w:r>
        <w:rPr>
          <w:lang w:val="en-US"/>
        </w:rPr>
        <w:t>TXT</w:t>
      </w:r>
      <w:r w:rsidRPr="00CC14C9">
        <w:t>)</w:t>
      </w:r>
      <w:r>
        <w:t>, содержащий такие поля, вполне возможно. В выгрузку могут попасть любые из полей, которые представлены столбцами в списке; собственно, именно эти столбцы и пр</w:t>
      </w:r>
      <w:r w:rsidR="006121C8">
        <w:t>едставлены для выбора на рис. 7.3</w:t>
      </w:r>
      <w:r>
        <w:t>.</w:t>
      </w:r>
    </w:p>
    <w:p w:rsidR="00CC14C9" w:rsidRPr="00CC14C9" w:rsidRDefault="00CC14C9" w:rsidP="00351832">
      <w:r>
        <w:t>В этом режиме, чтобы отметить к выгрузке какое-либо поле, необходимо дважды щёлкнуть на нём мышкой; после этого задать имя поля</w:t>
      </w:r>
      <w:r w:rsidRPr="00CC14C9">
        <w:t xml:space="preserve"> </w:t>
      </w:r>
      <w:r>
        <w:t xml:space="preserve">и его размерность (для </w:t>
      </w:r>
      <w:r>
        <w:rPr>
          <w:lang w:val="en-US"/>
        </w:rPr>
        <w:t>DBF</w:t>
      </w:r>
      <w:r w:rsidRPr="00CC14C9">
        <w:t>)</w:t>
      </w:r>
      <w:r>
        <w:t>.</w:t>
      </w:r>
    </w:p>
    <w:p w:rsidR="00CC14C9" w:rsidRPr="006121C8" w:rsidRDefault="00CC14C9" w:rsidP="00351832">
      <w:r>
        <w:t>Счета балансового учёта указываются, как поля, имеющие «знач</w:t>
      </w:r>
      <w:r w:rsidR="006121C8">
        <w:t xml:space="preserve">ение по умолчанию» - </w:t>
      </w:r>
      <w:proofErr w:type="gramStart"/>
      <w:r w:rsidR="006121C8">
        <w:t>см</w:t>
      </w:r>
      <w:proofErr w:type="gramEnd"/>
      <w:r w:rsidR="006121C8">
        <w:t>. рис. 7.4</w:t>
      </w:r>
      <w:r>
        <w:t>.</w:t>
      </w:r>
    </w:p>
    <w:p w:rsidR="00CC14C9" w:rsidRDefault="00CC14C9" w:rsidP="00351832"/>
    <w:p w:rsidR="00CC14C9" w:rsidRDefault="00F5571A" w:rsidP="00351832">
      <w:r>
        <w:rPr>
          <w:noProof/>
          <w:lang w:eastAsia="ru-RU"/>
        </w:rPr>
        <w:lastRenderedPageBreak/>
        <w:drawing>
          <wp:inline distT="0" distB="0" distL="0" distR="0">
            <wp:extent cx="3632200" cy="2687320"/>
            <wp:effectExtent l="1905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C9" w:rsidRDefault="006121C8" w:rsidP="00351832">
      <w:pPr>
        <w:rPr>
          <w:lang w:val="en-US"/>
        </w:rPr>
      </w:pPr>
      <w:r>
        <w:t>Рис. 7.4</w:t>
      </w:r>
    </w:p>
    <w:p w:rsidR="00CC14C9" w:rsidRDefault="00CC14C9" w:rsidP="00351832">
      <w:pPr>
        <w:rPr>
          <w:lang w:val="en-US"/>
        </w:rPr>
      </w:pPr>
    </w:p>
    <w:p w:rsidR="00CC14C9" w:rsidRDefault="00CC14C9" w:rsidP="00CC14C9">
      <w:pPr>
        <w:pStyle w:val="1"/>
      </w:pPr>
      <w:bookmarkStart w:id="13" w:name="_Toc421199512"/>
      <w:r>
        <w:t>Выгрузка документов для ПУ</w:t>
      </w:r>
      <w:bookmarkEnd w:id="13"/>
    </w:p>
    <w:p w:rsidR="00CC14C9" w:rsidRDefault="00CC14C9" w:rsidP="00CC14C9">
      <w:r>
        <w:t xml:space="preserve">Принятые платежи периодически требуется передавать организациям – поставщикам услуг. Для выполнения этой функции предназначена </w:t>
      </w:r>
      <w:r w:rsidR="00BC4424">
        <w:t>з</w:t>
      </w:r>
      <w:r w:rsidR="006121C8">
        <w:t xml:space="preserve">акладка «Выгрузки» - </w:t>
      </w:r>
      <w:proofErr w:type="gramStart"/>
      <w:r w:rsidR="006121C8">
        <w:t>см</w:t>
      </w:r>
      <w:proofErr w:type="gramEnd"/>
      <w:r w:rsidR="006121C8">
        <w:t>. рис. 8.1</w:t>
      </w:r>
      <w:r w:rsidR="00BC4424">
        <w:t>.</w:t>
      </w:r>
    </w:p>
    <w:p w:rsidR="00BC4424" w:rsidRDefault="00BC4424" w:rsidP="00CC14C9">
      <w:r>
        <w:t>Выгрузки можно осуществлять в несколько «рейсов» (несколько раз) в течение дня в адрес каждой организации – ПУ – по необходимости.</w:t>
      </w:r>
    </w:p>
    <w:p w:rsidR="00BC4424" w:rsidRDefault="00BC4424" w:rsidP="00CC14C9">
      <w:r>
        <w:t>При нажатии на кнопку «</w:t>
      </w:r>
      <w:r w:rsidR="00F5571A">
        <w:rPr>
          <w:noProof/>
          <w:lang w:eastAsia="ru-RU"/>
        </w:rPr>
        <w:drawing>
          <wp:inline distT="0" distB="0" distL="0" distR="0">
            <wp:extent cx="218440" cy="2184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»</w:t>
      </w:r>
      <w:r w:rsidRPr="00BC4424">
        <w:t xml:space="preserve"> </w:t>
      </w:r>
      <w:r>
        <w:t xml:space="preserve">появится окно, в котором требуется указать организацию, в адрес которой формируется выгрузка, и период времени: в выгрузку попадут документы, введённые (отсканированные) в течение этого периода. </w:t>
      </w:r>
      <w:proofErr w:type="gramStart"/>
      <w:r>
        <w:t>Документы, попавшие в предыдущую выгрузку ранее, в новую не попадут.</w:t>
      </w:r>
      <w:proofErr w:type="gramEnd"/>
    </w:p>
    <w:p w:rsidR="00BC4424" w:rsidRDefault="00BC4424" w:rsidP="00CC14C9">
      <w:r>
        <w:t>Ранее сформированную выгрузку (при наличии соответствующих прав) пользователь может удалить кнопкой «</w:t>
      </w:r>
      <w:r w:rsidR="00F5571A">
        <w:rPr>
          <w:noProof/>
          <w:lang w:eastAsia="ru-RU"/>
        </w:rPr>
        <w:drawing>
          <wp:inline distT="0" distB="0" distL="0" distR="0">
            <wp:extent cx="2286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».</w:t>
      </w:r>
      <w:r w:rsidRPr="00BC4424">
        <w:t xml:space="preserve"> </w:t>
      </w:r>
      <w:r>
        <w:t xml:space="preserve">При удалении выгрузки сами платежи удалены </w:t>
      </w:r>
      <w:r w:rsidRPr="00BC4424">
        <w:rPr>
          <w:u w:val="single"/>
        </w:rPr>
        <w:t>не будут</w:t>
      </w:r>
      <w:r>
        <w:t>; просто будет очищен признак их «</w:t>
      </w:r>
      <w:proofErr w:type="spellStart"/>
      <w:r>
        <w:t>выгруженности</w:t>
      </w:r>
      <w:proofErr w:type="spellEnd"/>
      <w:r>
        <w:t>».</w:t>
      </w:r>
    </w:p>
    <w:p w:rsidR="00BC4424" w:rsidRDefault="00BC4424" w:rsidP="00CC14C9">
      <w:r>
        <w:t>После удаления выгрузки «освободившиеся» платежи попадут в следующую выгрузку в адрес этой организации.</w:t>
      </w:r>
    </w:p>
    <w:p w:rsidR="008D3904" w:rsidRDefault="008D3904" w:rsidP="00CC14C9"/>
    <w:p w:rsidR="008D3904" w:rsidRDefault="008D3904" w:rsidP="00CC14C9">
      <w:r>
        <w:t>На этой закладке список платежей, попавших в выгрузку, сформирован по несколько иному принципу. Здесь будут перечислены все ТЕГИ документа; в нижней правой таблице они показаны для удобства восприятия.</w:t>
      </w:r>
    </w:p>
    <w:p w:rsidR="008D3904" w:rsidRDefault="00491782" w:rsidP="00CC14C9">
      <w:r>
        <w:t>Соответственно, можно более тонко подойти к формированию файла выгрузки; режим тот же – кнопка «</w:t>
      </w:r>
      <w:r w:rsidR="00F5571A">
        <w:rPr>
          <w:noProof/>
          <w:lang w:eastAsia="ru-RU"/>
        </w:rPr>
        <w:drawing>
          <wp:inline distT="0" distB="0" distL="0" distR="0">
            <wp:extent cx="238760" cy="238760"/>
            <wp:effectExtent l="1905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»</w:t>
      </w:r>
      <w:r w:rsidRPr="00491782">
        <w:t xml:space="preserve"> </w:t>
      </w:r>
      <w:r>
        <w:t>в нижней части левого нижнего списка.</w:t>
      </w:r>
    </w:p>
    <w:p w:rsidR="00491782" w:rsidRPr="006121C8" w:rsidRDefault="00491782" w:rsidP="00CC14C9">
      <w:r>
        <w:t>Но теперь, при указании, какие поля должны войти в выгрузку, есть возможность перечислить лю</w:t>
      </w:r>
      <w:r w:rsidR="006121C8">
        <w:t xml:space="preserve">бые теги документы – </w:t>
      </w:r>
      <w:proofErr w:type="gramStart"/>
      <w:r w:rsidR="006121C8">
        <w:t>см</w:t>
      </w:r>
      <w:proofErr w:type="gramEnd"/>
      <w:r w:rsidR="006121C8">
        <w:t>. рис. 8.2</w:t>
      </w:r>
      <w:r>
        <w:t>.</w:t>
      </w:r>
    </w:p>
    <w:p w:rsidR="00BC4424" w:rsidRDefault="00BC4424" w:rsidP="00CC14C9"/>
    <w:p w:rsidR="00BC4424" w:rsidRDefault="00F5571A" w:rsidP="00CC14C9">
      <w:r>
        <w:rPr>
          <w:noProof/>
          <w:lang w:eastAsia="ru-RU"/>
        </w:rPr>
        <w:lastRenderedPageBreak/>
        <w:drawing>
          <wp:inline distT="0" distB="0" distL="0" distR="0">
            <wp:extent cx="5938520" cy="3916680"/>
            <wp:effectExtent l="1905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24" w:rsidRDefault="006121C8" w:rsidP="00CC14C9">
      <w:pPr>
        <w:rPr>
          <w:lang w:val="en-US"/>
        </w:rPr>
      </w:pPr>
      <w:r>
        <w:t>Рис. 8.1</w:t>
      </w:r>
    </w:p>
    <w:p w:rsidR="00491782" w:rsidRDefault="00491782" w:rsidP="00CC14C9">
      <w:pPr>
        <w:rPr>
          <w:lang w:val="en-US"/>
        </w:rPr>
      </w:pPr>
    </w:p>
    <w:p w:rsidR="00491782" w:rsidRDefault="00F5571A" w:rsidP="00CC14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36920" cy="38658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C8" w:rsidRDefault="006121C8" w:rsidP="00CC14C9">
      <w:r>
        <w:t>Рис. 8.2</w:t>
      </w:r>
    </w:p>
    <w:p w:rsidR="00491782" w:rsidRDefault="006121C8" w:rsidP="006121C8">
      <w:pPr>
        <w:pStyle w:val="1"/>
      </w:pPr>
      <w:r>
        <w:br w:type="page"/>
      </w:r>
      <w:bookmarkStart w:id="14" w:name="_Toc421199513"/>
      <w:r>
        <w:lastRenderedPageBreak/>
        <w:t>Интеграция с банковской системой</w:t>
      </w:r>
      <w:bookmarkEnd w:id="14"/>
    </w:p>
    <w:p w:rsidR="006121C8" w:rsidRPr="00814B12" w:rsidRDefault="006121C8" w:rsidP="006121C8">
      <w:proofErr w:type="spellStart"/>
      <w:r w:rsidRPr="006121C8">
        <w:rPr>
          <w:b/>
        </w:rPr>
        <w:t>Биллинг</w:t>
      </w:r>
      <w:proofErr w:type="spellEnd"/>
      <w:r w:rsidRPr="006121C8">
        <w:rPr>
          <w:b/>
        </w:rPr>
        <w:t xml:space="preserve"> 2</w:t>
      </w:r>
      <w:r w:rsidRPr="006121C8">
        <w:rPr>
          <w:b/>
          <w:lang w:val="en-US"/>
        </w:rPr>
        <w:t>D</w:t>
      </w:r>
      <w:r w:rsidRPr="006121C8">
        <w:t xml:space="preserve"> </w:t>
      </w:r>
      <w:r>
        <w:t xml:space="preserve">позволяет </w:t>
      </w:r>
      <w:r w:rsidRPr="006121C8">
        <w:rPr>
          <w:b/>
        </w:rPr>
        <w:t>любой</w:t>
      </w:r>
      <w:r>
        <w:t xml:space="preserve"> банковской системе (БС) работать с </w:t>
      </w:r>
      <w:proofErr w:type="gramStart"/>
      <w:r>
        <w:t>двухмерными</w:t>
      </w:r>
      <w:proofErr w:type="gramEnd"/>
      <w:r>
        <w:t xml:space="preserve"> </w:t>
      </w:r>
      <w:proofErr w:type="spellStart"/>
      <w:r>
        <w:t>штрих-кодами</w:t>
      </w:r>
      <w:proofErr w:type="spellEnd"/>
      <w:r w:rsidR="00145470">
        <w:t xml:space="preserve"> (</w:t>
      </w:r>
      <w:r w:rsidR="00145470" w:rsidRPr="00145470">
        <w:rPr>
          <w:b/>
        </w:rPr>
        <w:t>ДШК</w:t>
      </w:r>
      <w:r w:rsidR="00145470">
        <w:t>)</w:t>
      </w:r>
      <w:r>
        <w:t xml:space="preserve"> без её – БС – доработки.</w:t>
      </w:r>
    </w:p>
    <w:p w:rsidR="00814B12" w:rsidRDefault="00814B12" w:rsidP="006121C8">
      <w:r>
        <w:t xml:space="preserve">В любой </w:t>
      </w:r>
      <w:proofErr w:type="spellStart"/>
      <w:r>
        <w:t>биллинговой</w:t>
      </w:r>
      <w:proofErr w:type="spellEnd"/>
      <w:r>
        <w:t xml:space="preserve"> системе, с помощью которой принимаются коммунальные платежи, присутствует режим ручного ввода</w:t>
      </w:r>
      <w:r w:rsidR="00CA0CF4">
        <w:t xml:space="preserve"> </w:t>
      </w:r>
      <w:r w:rsidR="00167A6F">
        <w:t>данных с квитанции: № лицевого счёта абонента, адрес абонента, ФИО абонента, сумма платежа, период оплаты и т.д.</w:t>
      </w:r>
    </w:p>
    <w:p w:rsidR="00167A6F" w:rsidRPr="00167A6F" w:rsidRDefault="00167A6F" w:rsidP="006121C8">
      <w:r>
        <w:t xml:space="preserve">Имея всю эту информацию в виде, уже подготовленном для машинного ввода в компьютер, крайне обидно упустить такую возможность просто из-за отсутствия нужного программного обеспечения. Тем самым заставив вводить всю информацию </w:t>
      </w:r>
      <w:r w:rsidRPr="00167A6F">
        <w:t>оператора.</w:t>
      </w:r>
    </w:p>
    <w:p w:rsidR="00167A6F" w:rsidRDefault="00167A6F" w:rsidP="006121C8">
      <w:r>
        <w:t>Однако</w:t>
      </w:r>
      <w:proofErr w:type="gramStart"/>
      <w:r>
        <w:t>,</w:t>
      </w:r>
      <w:proofErr w:type="gramEnd"/>
      <w:r>
        <w:t xml:space="preserve"> выход есть. Совсем необязательно ждать новую версию БС.</w:t>
      </w:r>
    </w:p>
    <w:p w:rsidR="00455817" w:rsidRDefault="00455817" w:rsidP="006121C8">
      <w:proofErr w:type="spellStart"/>
      <w:r w:rsidRPr="006121C8">
        <w:rPr>
          <w:b/>
        </w:rPr>
        <w:t>Биллинг</w:t>
      </w:r>
      <w:proofErr w:type="spellEnd"/>
      <w:r w:rsidRPr="006121C8">
        <w:rPr>
          <w:b/>
        </w:rPr>
        <w:t xml:space="preserve"> 2</w:t>
      </w:r>
      <w:r w:rsidRPr="006121C8">
        <w:rPr>
          <w:b/>
          <w:lang w:val="en-US"/>
        </w:rPr>
        <w:t>D</w:t>
      </w:r>
      <w:r w:rsidRPr="006121C8">
        <w:t xml:space="preserve"> </w:t>
      </w:r>
      <w:r>
        <w:t>может работать в режиме «драйвера», который</w:t>
      </w:r>
      <w:r w:rsidR="00145470">
        <w:t xml:space="preserve"> при запуске сворачивается в </w:t>
      </w:r>
      <w:proofErr w:type="spellStart"/>
      <w:r w:rsidR="00145470">
        <w:t>трей</w:t>
      </w:r>
      <w:proofErr w:type="spellEnd"/>
      <w:r w:rsidR="00145470">
        <w:t xml:space="preserve"> (системный лоток)</w:t>
      </w:r>
      <w:r>
        <w:t xml:space="preserve"> </w:t>
      </w:r>
      <w:r w:rsidR="00145470">
        <w:t xml:space="preserve">и </w:t>
      </w:r>
      <w:r>
        <w:t>выполняет следующие функции:</w:t>
      </w:r>
    </w:p>
    <w:p w:rsidR="00167A6F" w:rsidRDefault="00455817" w:rsidP="00455817">
      <w:pPr>
        <w:numPr>
          <w:ilvl w:val="0"/>
          <w:numId w:val="11"/>
        </w:numPr>
      </w:pPr>
      <w:r>
        <w:t xml:space="preserve">принимает информацию из одного тракта (сканер </w:t>
      </w:r>
      <w:proofErr w:type="spellStart"/>
      <w:proofErr w:type="gramStart"/>
      <w:r>
        <w:t>штрих-кодов</w:t>
      </w:r>
      <w:proofErr w:type="spellEnd"/>
      <w:proofErr w:type="gramEnd"/>
      <w:r>
        <w:t xml:space="preserve">, включенный в </w:t>
      </w:r>
      <w:r>
        <w:rPr>
          <w:lang w:val="en-US"/>
        </w:rPr>
        <w:t>COM</w:t>
      </w:r>
      <w:r w:rsidRPr="00455817">
        <w:t>-</w:t>
      </w:r>
      <w:r>
        <w:t xml:space="preserve">порт или </w:t>
      </w:r>
      <w:r>
        <w:rPr>
          <w:lang w:val="en-US"/>
        </w:rPr>
        <w:t>USB</w:t>
      </w:r>
      <w:r w:rsidRPr="00455817">
        <w:t>-</w:t>
      </w:r>
      <w:r>
        <w:t>разъём);</w:t>
      </w:r>
    </w:p>
    <w:p w:rsidR="00455817" w:rsidRDefault="00455817" w:rsidP="00455817">
      <w:pPr>
        <w:numPr>
          <w:ilvl w:val="0"/>
          <w:numId w:val="11"/>
        </w:numPr>
      </w:pPr>
      <w:r>
        <w:t>декодирует информацию и разбирает её по реквизитам;</w:t>
      </w:r>
    </w:p>
    <w:p w:rsidR="00455817" w:rsidRDefault="00455817" w:rsidP="00455817">
      <w:pPr>
        <w:numPr>
          <w:ilvl w:val="0"/>
          <w:numId w:val="11"/>
        </w:numPr>
      </w:pPr>
      <w:r>
        <w:t>передаёт данные в другой тракт: буфер клавиатуры.</w:t>
      </w:r>
    </w:p>
    <w:p w:rsidR="00145470" w:rsidRDefault="00145470" w:rsidP="00145470">
      <w:pPr>
        <w:ind w:left="1429" w:firstLine="0"/>
      </w:pPr>
    </w:p>
    <w:p w:rsidR="00145470" w:rsidRPr="007F4541" w:rsidRDefault="00145470" w:rsidP="00145470">
      <w:r>
        <w:t>С помощью такого подхода можно интегрировать работу с ДШК</w:t>
      </w:r>
      <w:r w:rsidRPr="00145470">
        <w:t xml:space="preserve"> </w:t>
      </w:r>
      <w:r>
        <w:t>в любую систему автоматизации. Ролик, демонстрирующий работу «</w:t>
      </w:r>
      <w:proofErr w:type="spellStart"/>
      <w:r w:rsidRPr="00145470">
        <w:rPr>
          <w:b/>
        </w:rPr>
        <w:t>Биллинг</w:t>
      </w:r>
      <w:proofErr w:type="spellEnd"/>
      <w:r w:rsidRPr="00145470">
        <w:rPr>
          <w:b/>
        </w:rPr>
        <w:t xml:space="preserve"> 2</w:t>
      </w:r>
      <w:r w:rsidRPr="00145470">
        <w:rPr>
          <w:b/>
          <w:lang w:val="en-US"/>
        </w:rPr>
        <w:t>D</w:t>
      </w:r>
      <w:r>
        <w:t xml:space="preserve">», </w:t>
      </w:r>
      <w:proofErr w:type="gramStart"/>
      <w:r>
        <w:t>работающего</w:t>
      </w:r>
      <w:proofErr w:type="gramEnd"/>
      <w:r>
        <w:t xml:space="preserve"> в таком режиме, </w:t>
      </w:r>
      <w:r w:rsidR="00EE2DEA">
        <w:t xml:space="preserve">размещён здесь: </w:t>
      </w:r>
      <w:hyperlink r:id="rId39" w:history="1">
        <w:r w:rsidR="00EE2DEA" w:rsidRPr="00EC6276">
          <w:rPr>
            <w:rStyle w:val="a6"/>
          </w:rPr>
          <w:t>http://youtu.be/73KtIafXKhE</w:t>
        </w:r>
      </w:hyperlink>
      <w:r w:rsidR="00EE2DEA">
        <w:t xml:space="preserve"> </w:t>
      </w:r>
    </w:p>
    <w:p w:rsidR="00C74742" w:rsidRDefault="00B649C8" w:rsidP="00145470">
      <w:r>
        <w:t>Данный механизм осуществим благодаря имеющейся в «</w:t>
      </w:r>
      <w:proofErr w:type="spellStart"/>
      <w:r w:rsidRPr="00145470">
        <w:rPr>
          <w:b/>
        </w:rPr>
        <w:t>Биллинг</w:t>
      </w:r>
      <w:proofErr w:type="spellEnd"/>
      <w:r w:rsidRPr="00145470">
        <w:rPr>
          <w:b/>
        </w:rPr>
        <w:t xml:space="preserve"> 2</w:t>
      </w:r>
      <w:r w:rsidRPr="00145470">
        <w:rPr>
          <w:b/>
          <w:lang w:val="en-US"/>
        </w:rPr>
        <w:t>D</w:t>
      </w:r>
      <w:r>
        <w:t>» возможности описания «раскладок».</w:t>
      </w:r>
    </w:p>
    <w:p w:rsidR="00B649C8" w:rsidRDefault="00B649C8" w:rsidP="00145470">
      <w:r>
        <w:t>То есть, требуется неким формализованным образом описать порядок расположения полей ввода в окне (принимающей информацию) банковской программы и методы перевода фокуса ввода (курсора) из текущего поля в следующее.</w:t>
      </w:r>
    </w:p>
    <w:p w:rsidR="00B649C8" w:rsidRDefault="00B649C8" w:rsidP="00145470">
      <w:r>
        <w:t>Когда такое описание создано, «</w:t>
      </w:r>
      <w:proofErr w:type="spellStart"/>
      <w:r w:rsidRPr="00145470">
        <w:rPr>
          <w:b/>
        </w:rPr>
        <w:t>Биллинг</w:t>
      </w:r>
      <w:proofErr w:type="spellEnd"/>
      <w:r w:rsidRPr="00145470">
        <w:rPr>
          <w:b/>
        </w:rPr>
        <w:t xml:space="preserve"> 2</w:t>
      </w:r>
      <w:r w:rsidRPr="00145470">
        <w:rPr>
          <w:b/>
          <w:lang w:val="en-US"/>
        </w:rPr>
        <w:t>D</w:t>
      </w:r>
      <w:r>
        <w:t xml:space="preserve">» просто подставляет информацию, считанную и декодированную </w:t>
      </w:r>
      <w:proofErr w:type="gramStart"/>
      <w:r>
        <w:t>из</w:t>
      </w:r>
      <w:proofErr w:type="gramEnd"/>
      <w:r>
        <w:t xml:space="preserve"> </w:t>
      </w:r>
      <w:proofErr w:type="gramStart"/>
      <w:r>
        <w:t>штрих-кода</w:t>
      </w:r>
      <w:proofErr w:type="gramEnd"/>
      <w:r>
        <w:t>, в поля ввода принимающей программы.</w:t>
      </w:r>
    </w:p>
    <w:p w:rsidR="004942D9" w:rsidRDefault="004942D9" w:rsidP="00145470"/>
    <w:p w:rsidR="004942D9" w:rsidRDefault="004942D9" w:rsidP="00145470">
      <w:r>
        <w:t>Дальнейшая работа выглядит просто: в поле ввода принимающей программы вводится текст указанного тега; затем происходит перенос фокуса ввода (курсора) в следующее поле ввода.</w:t>
      </w:r>
    </w:p>
    <w:p w:rsidR="004942D9" w:rsidRPr="00B649C8" w:rsidRDefault="004942D9" w:rsidP="00145470">
      <w:r>
        <w:t>В него подставляется значение второго указанного тега, и так происходит, пока не закончится список тегов, указанных в раскладке.</w:t>
      </w:r>
    </w:p>
    <w:p w:rsidR="00C74742" w:rsidRDefault="00C74742" w:rsidP="00C74742">
      <w:pPr>
        <w:pStyle w:val="2"/>
      </w:pPr>
      <w:bookmarkStart w:id="15" w:name="_Toc421199514"/>
      <w:r>
        <w:t>Настройка раскладок</w:t>
      </w:r>
      <w:bookmarkEnd w:id="15"/>
    </w:p>
    <w:p w:rsidR="00C74742" w:rsidRDefault="00D01A24" w:rsidP="00C74742">
      <w:r>
        <w:t xml:space="preserve">Этот механизм будет работать с любой принимающей программой; в данном разделе </w:t>
      </w:r>
      <w:r w:rsidR="008C16E2">
        <w:t>для иллюстрации показана</w:t>
      </w:r>
      <w:r>
        <w:t xml:space="preserve"> настройка раскладки для программы «Бизнес Пак 7.6», пункт меню «Открыть/Справочник/Фирмы», пункт контекстного меню «Вставить» (имеется в виду добавление новой фирмы).</w:t>
      </w:r>
    </w:p>
    <w:p w:rsidR="008C16E2" w:rsidRPr="008C3891" w:rsidRDefault="008C16E2" w:rsidP="00C74742">
      <w:r>
        <w:t>Настройка раскладки состоит из нескольких последовательных шагов.</w:t>
      </w:r>
    </w:p>
    <w:p w:rsidR="008C16E2" w:rsidRPr="008C16E2" w:rsidRDefault="008C16E2" w:rsidP="008C16E2">
      <w:pPr>
        <w:numPr>
          <w:ilvl w:val="0"/>
          <w:numId w:val="12"/>
        </w:numPr>
      </w:pPr>
      <w:r>
        <w:t xml:space="preserve">В списке платежей главного окна программы, встать на только что отсканированный (с коммунальной квитанции) документ и выполнить пункт контекстного меню «Пометить, как образец для создания раскладки» - </w:t>
      </w:r>
      <w:proofErr w:type="gramStart"/>
      <w:r>
        <w:t>см</w:t>
      </w:r>
      <w:proofErr w:type="gramEnd"/>
      <w:r>
        <w:t>. рис. 9.1; шрифт помеченного документа станет красным.</w:t>
      </w:r>
    </w:p>
    <w:p w:rsidR="008C16E2" w:rsidRDefault="004C4B16" w:rsidP="008C16E2">
      <w:pPr>
        <w:numPr>
          <w:ilvl w:val="0"/>
          <w:numId w:val="12"/>
        </w:numPr>
      </w:pPr>
      <w:r>
        <w:t xml:space="preserve">Запускаем «принимающую» программу и открываем в ней оконную форму, в которую должны вводиться данные с квитанции – </w:t>
      </w:r>
      <w:proofErr w:type="gramStart"/>
      <w:r>
        <w:t>см</w:t>
      </w:r>
      <w:proofErr w:type="gramEnd"/>
      <w:r>
        <w:t>. рис. 9.2;</w:t>
      </w:r>
    </w:p>
    <w:p w:rsidR="004C4B16" w:rsidRDefault="004C4B16" w:rsidP="008C16E2">
      <w:pPr>
        <w:numPr>
          <w:ilvl w:val="0"/>
          <w:numId w:val="12"/>
        </w:numPr>
      </w:pPr>
      <w:r>
        <w:t>В «</w:t>
      </w:r>
      <w:proofErr w:type="spellStart"/>
      <w:r w:rsidRPr="00145470">
        <w:rPr>
          <w:b/>
        </w:rPr>
        <w:t>Биллинг</w:t>
      </w:r>
      <w:proofErr w:type="spellEnd"/>
      <w:r w:rsidRPr="00145470">
        <w:rPr>
          <w:b/>
        </w:rPr>
        <w:t xml:space="preserve"> 2</w:t>
      </w:r>
      <w:r w:rsidRPr="00145470">
        <w:rPr>
          <w:b/>
          <w:lang w:val="en-US"/>
        </w:rPr>
        <w:t>D</w:t>
      </w:r>
      <w:r>
        <w:t>» перейти на закладку «Раскладки» и нажать кнопку «</w:t>
      </w:r>
      <w:r w:rsidR="00F5571A">
        <w:rPr>
          <w:b/>
          <w:noProof/>
          <w:lang w:eastAsia="ru-RU"/>
        </w:rPr>
        <w:drawing>
          <wp:inline distT="0" distB="0" distL="0" distR="0">
            <wp:extent cx="248920" cy="2387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» для добавления новой</w:t>
      </w:r>
      <w:r w:rsidR="007F3F2E" w:rsidRPr="007F3F2E">
        <w:t xml:space="preserve"> </w:t>
      </w:r>
      <w:r>
        <w:t>раскладки;</w:t>
      </w:r>
    </w:p>
    <w:p w:rsidR="004C4B16" w:rsidRDefault="007F3F2E" w:rsidP="008C16E2">
      <w:pPr>
        <w:numPr>
          <w:ilvl w:val="0"/>
          <w:numId w:val="12"/>
        </w:numPr>
      </w:pPr>
      <w:r>
        <w:t xml:space="preserve">Открывшееся окно разделено на три области – </w:t>
      </w:r>
      <w:proofErr w:type="gramStart"/>
      <w:r>
        <w:t>см</w:t>
      </w:r>
      <w:proofErr w:type="gramEnd"/>
      <w:r>
        <w:t xml:space="preserve">. рис. 9.3. В левой части представлен справочник тегов, которые могут встретиться в двухмерном </w:t>
      </w:r>
      <w:proofErr w:type="spellStart"/>
      <w:proofErr w:type="gramStart"/>
      <w:r>
        <w:t>штрих-коде</w:t>
      </w:r>
      <w:proofErr w:type="spellEnd"/>
      <w:proofErr w:type="gramEnd"/>
      <w:r>
        <w:t xml:space="preserve">, согласно </w:t>
      </w:r>
      <w:r>
        <w:lastRenderedPageBreak/>
        <w:t>стандарта; жирным шрифтом отмечены теги, которые содержатся в выделенном нами ранее документе (см. п. 1);</w:t>
      </w:r>
    </w:p>
    <w:p w:rsidR="007F3F2E" w:rsidRDefault="004942D9" w:rsidP="008C16E2">
      <w:pPr>
        <w:numPr>
          <w:ilvl w:val="0"/>
          <w:numId w:val="12"/>
        </w:numPr>
      </w:pPr>
      <w:r>
        <w:t>Из левой в среднюю область нужно перенести теги, которые предполагается (после считывания штрих-кода) вставлять в поля ввода принимающей программы.</w:t>
      </w:r>
    </w:p>
    <w:p w:rsidR="004942D9" w:rsidRDefault="004942D9" w:rsidP="008C16E2">
      <w:pPr>
        <w:numPr>
          <w:ilvl w:val="0"/>
          <w:numId w:val="12"/>
        </w:numPr>
      </w:pPr>
      <w:r>
        <w:t>При этом в правой части автоматически формируется описание комбинации управляющих клавиш, которые надо нажать для переноса фокуса в следующее поле ввода; по умолчанию это – одно нажатие клавиши «</w:t>
      </w:r>
      <w:r>
        <w:rPr>
          <w:lang w:val="en-US"/>
        </w:rPr>
        <w:t>Tab</w:t>
      </w:r>
      <w:r>
        <w:t>» с паузой перед нажа</w:t>
      </w:r>
      <w:r w:rsidR="009F562D">
        <w:t>ти</w:t>
      </w:r>
      <w:r>
        <w:t xml:space="preserve">ем 50 </w:t>
      </w:r>
      <w:proofErr w:type="spellStart"/>
      <w:r>
        <w:t>мсек</w:t>
      </w:r>
      <w:proofErr w:type="spellEnd"/>
      <w:r>
        <w:t>.</w:t>
      </w:r>
    </w:p>
    <w:p w:rsidR="009F562D" w:rsidRPr="009F562D" w:rsidRDefault="009F562D" w:rsidP="008C16E2">
      <w:pPr>
        <w:numPr>
          <w:ilvl w:val="0"/>
          <w:numId w:val="12"/>
        </w:numPr>
      </w:pPr>
      <w:r>
        <w:t>Набор и параметры управляющих клавиш можно изменить; например, как видно из рисунка 9.3, для перехода с поля «Название» в поле «Адрес» потребуется запрограммировать 5 нажатий клавиши «</w:t>
      </w:r>
      <w:r>
        <w:rPr>
          <w:lang w:val="en-US"/>
        </w:rPr>
        <w:t>Tab</w:t>
      </w:r>
      <w:r>
        <w:t>»</w:t>
      </w:r>
      <w:r w:rsidRPr="009F562D">
        <w:t xml:space="preserve"> </w:t>
      </w:r>
      <w:r>
        <w:t xml:space="preserve">с интервалом времени между нажатиями по 100 </w:t>
      </w:r>
      <w:proofErr w:type="spellStart"/>
      <w:r>
        <w:t>мсек</w:t>
      </w:r>
      <w:proofErr w:type="spellEnd"/>
      <w:r>
        <w:t>.</w:t>
      </w:r>
    </w:p>
    <w:p w:rsidR="009F562D" w:rsidRDefault="009F562D" w:rsidP="008C16E2">
      <w:pPr>
        <w:numPr>
          <w:ilvl w:val="0"/>
          <w:numId w:val="12"/>
        </w:numPr>
      </w:pPr>
      <w:proofErr w:type="gramStart"/>
      <w:r>
        <w:t>Из левой в среднюю области необходимо перенести все теги документа, которые предполагается передать в принимающую программу, при необходимости корректируя управляющие по</w:t>
      </w:r>
      <w:r w:rsidR="00AA00B4">
        <w:t>следовательности кнопок.</w:t>
      </w:r>
      <w:proofErr w:type="gramEnd"/>
    </w:p>
    <w:p w:rsidR="004942D9" w:rsidRPr="008C16E2" w:rsidRDefault="004942D9" w:rsidP="004942D9"/>
    <w:p w:rsidR="008C16E2" w:rsidRDefault="00F5571A" w:rsidP="008C16E2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8520" cy="4627880"/>
            <wp:effectExtent l="1905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E2" w:rsidRDefault="008C16E2" w:rsidP="008C16E2">
      <w:pPr>
        <w:ind w:firstLine="0"/>
      </w:pPr>
      <w:r>
        <w:t>рис. 9.1</w:t>
      </w:r>
    </w:p>
    <w:p w:rsidR="004C4B16" w:rsidRDefault="004C4B16" w:rsidP="008C16E2">
      <w:pPr>
        <w:ind w:firstLine="0"/>
      </w:pPr>
    </w:p>
    <w:p w:rsidR="004C4B16" w:rsidRDefault="00F5571A" w:rsidP="008C16E2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4114800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16" w:rsidRDefault="004C4B16" w:rsidP="008C16E2">
      <w:pPr>
        <w:ind w:firstLine="0"/>
      </w:pPr>
      <w:r>
        <w:t>рис. 9.2</w:t>
      </w:r>
    </w:p>
    <w:p w:rsidR="004C4B16" w:rsidRDefault="004C4B16" w:rsidP="008C16E2">
      <w:pPr>
        <w:ind w:firstLine="0"/>
      </w:pPr>
    </w:p>
    <w:p w:rsidR="004C4B16" w:rsidRDefault="00F5571A" w:rsidP="008C16E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3440" cy="289052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16" w:rsidRPr="004C4B16" w:rsidRDefault="004C4B16" w:rsidP="008C16E2">
      <w:pPr>
        <w:ind w:firstLine="0"/>
        <w:rPr>
          <w:lang w:val="en-US"/>
        </w:rPr>
      </w:pPr>
      <w:r>
        <w:t>рис. 9.3</w:t>
      </w:r>
    </w:p>
    <w:sectPr w:rsidR="004C4B16" w:rsidRPr="004C4B16" w:rsidSect="00104FFE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68" w:rsidRDefault="00B83468">
      <w:r>
        <w:separator/>
      </w:r>
    </w:p>
  </w:endnote>
  <w:endnote w:type="continuationSeparator" w:id="0">
    <w:p w:rsidR="00B83468" w:rsidRDefault="00B8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68" w:rsidRDefault="00B83468">
    <w:pPr>
      <w:pStyle w:val="ab"/>
      <w:jc w:val="right"/>
    </w:pPr>
    <w:fldSimple w:instr=" PAGE ">
      <w:r w:rsidR="00EC52F4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68" w:rsidRDefault="00B83468">
      <w:r>
        <w:separator/>
      </w:r>
    </w:p>
  </w:footnote>
  <w:footnote w:type="continuationSeparator" w:id="0">
    <w:p w:rsidR="00B83468" w:rsidRDefault="00B83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68" w:rsidRDefault="00B83468">
    <w:pPr>
      <w:pStyle w:val="aa"/>
    </w:pPr>
    <w:r>
      <w:rPr>
        <w:b/>
        <w:noProof/>
        <w:lang w:eastAsia="ru-RU"/>
      </w:rPr>
      <w:drawing>
        <wp:inline distT="0" distB="0" distL="0" distR="0">
          <wp:extent cx="304800" cy="304800"/>
          <wp:effectExtent l="19050" t="0" r="0" b="0"/>
          <wp:docPr id="3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C3891">
      <w:rPr>
        <w:b/>
      </w:rPr>
      <w:t xml:space="preserve"> </w:t>
    </w:r>
    <w:proofErr w:type="spellStart"/>
    <w:r>
      <w:rPr>
        <w:b/>
      </w:rPr>
      <w:t>Биллинг</w:t>
    </w:r>
    <w:proofErr w:type="spellEnd"/>
    <w:r w:rsidRPr="008C3891">
      <w:rPr>
        <w:b/>
      </w:rPr>
      <w:t xml:space="preserve"> 2</w:t>
    </w:r>
    <w:r>
      <w:rPr>
        <w:b/>
        <w:lang w:val="en-US"/>
      </w:rPr>
      <w:t>D</w:t>
    </w:r>
    <w:r>
      <w:t>. Руководство пользователя.</w:t>
    </w:r>
  </w:p>
  <w:p w:rsidR="00B83468" w:rsidRPr="00F25716" w:rsidRDefault="00B83468">
    <w:pPr>
      <w:pStyle w:val="aa"/>
      <w:rPr>
        <w:sz w:val="20"/>
        <w:szCs w:val="20"/>
      </w:rPr>
    </w:pPr>
    <w:r>
      <w:t xml:space="preserve">          </w:t>
    </w:r>
    <w:r w:rsidRPr="00F25716">
      <w:t xml:space="preserve"> </w:t>
    </w:r>
    <w:r>
      <w:rPr>
        <w:sz w:val="20"/>
        <w:szCs w:val="20"/>
      </w:rPr>
      <w:t xml:space="preserve">Сайт: </w:t>
    </w:r>
    <w:hyperlink r:id="rId2" w:history="1">
      <w:r w:rsidRPr="00F25716">
        <w:rPr>
          <w:rStyle w:val="a6"/>
          <w:lang w:val="en-US"/>
        </w:rPr>
        <w:t>http</w:t>
      </w:r>
      <w:r w:rsidRPr="00F25716">
        <w:rPr>
          <w:rStyle w:val="a6"/>
        </w:rPr>
        <w:t>://</w:t>
      </w:r>
      <w:r w:rsidRPr="00F25716">
        <w:rPr>
          <w:rStyle w:val="a6"/>
          <w:lang w:val="en-US"/>
        </w:rPr>
        <w:t>billing</w:t>
      </w:r>
      <w:r w:rsidRPr="00F25716">
        <w:rPr>
          <w:rStyle w:val="a6"/>
        </w:rPr>
        <w:t>2</w:t>
      </w:r>
      <w:r w:rsidRPr="00F25716">
        <w:rPr>
          <w:rStyle w:val="a6"/>
          <w:lang w:val="en-US"/>
        </w:rPr>
        <w:t>d</w:t>
      </w:r>
      <w:r w:rsidRPr="00F25716">
        <w:rPr>
          <w:rStyle w:val="a6"/>
        </w:rPr>
        <w:t>.</w:t>
      </w:r>
      <w:proofErr w:type="spellStart"/>
      <w:r w:rsidRPr="00F25716">
        <w:rPr>
          <w:rStyle w:val="a6"/>
          <w:lang w:val="en-US"/>
        </w:rPr>
        <w:t>asksoft</w:t>
      </w:r>
      <w:proofErr w:type="spellEnd"/>
      <w:r w:rsidRPr="00F25716">
        <w:rPr>
          <w:rStyle w:val="a6"/>
        </w:rPr>
        <w:t>.</w:t>
      </w:r>
      <w:r w:rsidRPr="00F25716">
        <w:rPr>
          <w:rStyle w:val="a6"/>
          <w:lang w:val="en-US"/>
        </w:rPr>
        <w:t>net</w:t>
      </w:r>
      <w:r w:rsidRPr="00F25716">
        <w:rPr>
          <w:rStyle w:val="a6"/>
        </w:rPr>
        <w:t>/</w:t>
      </w:r>
    </w:hyperlink>
    <w:r w:rsidRPr="00F25716">
      <w:rPr>
        <w:sz w:val="20"/>
        <w:szCs w:val="20"/>
      </w:rPr>
      <w:t xml:space="preserve"> </w:t>
    </w:r>
  </w:p>
  <w:p w:rsidR="00B83468" w:rsidRDefault="00B83468">
    <w:pPr>
      <w:pStyle w:val="aa"/>
      <w:rPr>
        <w:sz w:val="20"/>
        <w:szCs w:val="20"/>
      </w:rPr>
    </w:pPr>
    <w:r w:rsidRPr="00F25716">
      <w:t xml:space="preserve"> </w:t>
    </w:r>
    <w:r>
      <w:t xml:space="preserve">          </w:t>
    </w:r>
    <w:r>
      <w:rPr>
        <w:sz w:val="20"/>
        <w:szCs w:val="20"/>
      </w:rPr>
      <w:t>Тех</w:t>
    </w:r>
    <w:proofErr w:type="gramStart"/>
    <w:r>
      <w:rPr>
        <w:sz w:val="20"/>
        <w:szCs w:val="20"/>
      </w:rPr>
      <w:t>.п</w:t>
    </w:r>
    <w:proofErr w:type="gramEnd"/>
    <w:r>
      <w:rPr>
        <w:sz w:val="20"/>
        <w:szCs w:val="20"/>
      </w:rPr>
      <w:t xml:space="preserve">оддержка: </w:t>
    </w:r>
    <w:hyperlink r:id="rId3" w:history="1">
      <w:r>
        <w:rPr>
          <w:rStyle w:val="a6"/>
        </w:rPr>
        <w:t>support@asksoft.net</w:t>
      </w:r>
    </w:hyperlink>
    <w:r>
      <w:rPr>
        <w:sz w:val="20"/>
        <w:szCs w:val="20"/>
      </w:rPr>
      <w:t xml:space="preserve"> </w:t>
    </w:r>
  </w:p>
  <w:p w:rsidR="00B83468" w:rsidRDefault="00B83468">
    <w:pPr>
      <w:pStyle w:val="aa"/>
      <w:jc w:val="left"/>
      <w:rPr>
        <w:rFonts w:ascii="Courier New" w:hAnsi="Courier New" w:cs="Courier New"/>
      </w:rPr>
    </w:pPr>
    <w:r>
      <w:rPr>
        <w:rFonts w:ascii="Courier New" w:hAnsi="Courier New" w:cs="Courier New"/>
      </w:rPr>
      <w:t>▬▬▬▬▬▬▬▬▬▬▬▬▬▬▬▬▬▬▬▬▬▬▬▬▬▬▬▬▬▬▬▬▬▬▬▬▬▬▬▬▬▬▬▬▬▬▬▬▬▬▬▬▬▬▬▬▬▬▬▬▬▬▬▬▬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>
    <w:nsid w:val="02680B57"/>
    <w:multiLevelType w:val="hybridMultilevel"/>
    <w:tmpl w:val="6B7A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B7B8E"/>
    <w:multiLevelType w:val="hybridMultilevel"/>
    <w:tmpl w:val="BD9C823C"/>
    <w:lvl w:ilvl="0" w:tplc="650E2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7A0DE0"/>
    <w:multiLevelType w:val="hybridMultilevel"/>
    <w:tmpl w:val="E4008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embedSystemFonts/>
  <w:proofState w:spelling="clean" w:grammar="clean"/>
  <w:stylePaneFormatFilter w:val="0000"/>
  <w:mailMerge>
    <w:mainDocumentType w:val="formLetters"/>
    <w:dataType w:val="textFile"/>
    <w:activeRecord w:val="-1"/>
    <w:odso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75C43"/>
    <w:rsid w:val="0002017C"/>
    <w:rsid w:val="00104FFE"/>
    <w:rsid w:val="001226EB"/>
    <w:rsid w:val="00145470"/>
    <w:rsid w:val="00167A6F"/>
    <w:rsid w:val="0017160A"/>
    <w:rsid w:val="001A1805"/>
    <w:rsid w:val="00233A95"/>
    <w:rsid w:val="0025411A"/>
    <w:rsid w:val="002B04A4"/>
    <w:rsid w:val="00303FCE"/>
    <w:rsid w:val="003434C0"/>
    <w:rsid w:val="00343B76"/>
    <w:rsid w:val="00351832"/>
    <w:rsid w:val="00384AB1"/>
    <w:rsid w:val="00391264"/>
    <w:rsid w:val="003F18B7"/>
    <w:rsid w:val="00434B19"/>
    <w:rsid w:val="00450077"/>
    <w:rsid w:val="00455817"/>
    <w:rsid w:val="00491782"/>
    <w:rsid w:val="004942D9"/>
    <w:rsid w:val="004C4B16"/>
    <w:rsid w:val="005471BD"/>
    <w:rsid w:val="00584AA9"/>
    <w:rsid w:val="005D634F"/>
    <w:rsid w:val="005D6C4B"/>
    <w:rsid w:val="005F6577"/>
    <w:rsid w:val="0060586C"/>
    <w:rsid w:val="006121C8"/>
    <w:rsid w:val="00651008"/>
    <w:rsid w:val="00682AB9"/>
    <w:rsid w:val="00724189"/>
    <w:rsid w:val="007E1015"/>
    <w:rsid w:val="007E6A97"/>
    <w:rsid w:val="007F3423"/>
    <w:rsid w:val="007F3F2E"/>
    <w:rsid w:val="007F4541"/>
    <w:rsid w:val="00811736"/>
    <w:rsid w:val="00814B12"/>
    <w:rsid w:val="008374FF"/>
    <w:rsid w:val="008558A2"/>
    <w:rsid w:val="00865E1D"/>
    <w:rsid w:val="008946B9"/>
    <w:rsid w:val="008B73DB"/>
    <w:rsid w:val="008C16E2"/>
    <w:rsid w:val="008C3891"/>
    <w:rsid w:val="008D3904"/>
    <w:rsid w:val="008F0A03"/>
    <w:rsid w:val="00911C34"/>
    <w:rsid w:val="00912E92"/>
    <w:rsid w:val="00974EA2"/>
    <w:rsid w:val="00975B3E"/>
    <w:rsid w:val="009A7F77"/>
    <w:rsid w:val="009C7F83"/>
    <w:rsid w:val="009F562D"/>
    <w:rsid w:val="00A01275"/>
    <w:rsid w:val="00A355DF"/>
    <w:rsid w:val="00A61512"/>
    <w:rsid w:val="00A75C43"/>
    <w:rsid w:val="00AA00B4"/>
    <w:rsid w:val="00B15FF3"/>
    <w:rsid w:val="00B21806"/>
    <w:rsid w:val="00B40A18"/>
    <w:rsid w:val="00B5267E"/>
    <w:rsid w:val="00B649C8"/>
    <w:rsid w:val="00B83468"/>
    <w:rsid w:val="00BC3CFF"/>
    <w:rsid w:val="00BC4424"/>
    <w:rsid w:val="00BD69B9"/>
    <w:rsid w:val="00C65147"/>
    <w:rsid w:val="00C74742"/>
    <w:rsid w:val="00C80268"/>
    <w:rsid w:val="00CA0CF4"/>
    <w:rsid w:val="00CA10D3"/>
    <w:rsid w:val="00CC14C9"/>
    <w:rsid w:val="00CC33F4"/>
    <w:rsid w:val="00CC5D5C"/>
    <w:rsid w:val="00CE090B"/>
    <w:rsid w:val="00D01A24"/>
    <w:rsid w:val="00D17EFC"/>
    <w:rsid w:val="00E14F08"/>
    <w:rsid w:val="00E41707"/>
    <w:rsid w:val="00E626D3"/>
    <w:rsid w:val="00EC0847"/>
    <w:rsid w:val="00EC2B4F"/>
    <w:rsid w:val="00EC52F4"/>
    <w:rsid w:val="00EE2DEA"/>
    <w:rsid w:val="00F00220"/>
    <w:rsid w:val="00F238D7"/>
    <w:rsid w:val="00F25716"/>
    <w:rsid w:val="00F5571A"/>
    <w:rsid w:val="00F56BA3"/>
    <w:rsid w:val="00F617B3"/>
    <w:rsid w:val="00F67D79"/>
    <w:rsid w:val="00F9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04FFE"/>
    <w:pPr>
      <w:suppressAutoHyphens/>
      <w:ind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04FFE"/>
    <w:pPr>
      <w:keepNext/>
      <w:keepLines/>
      <w:numPr>
        <w:numId w:val="1"/>
      </w:numPr>
      <w:spacing w:before="48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104FFE"/>
    <w:pPr>
      <w:keepNext/>
      <w:keepLines/>
      <w:numPr>
        <w:ilvl w:val="1"/>
        <w:numId w:val="1"/>
      </w:numPr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04FFE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qFormat/>
    <w:rsid w:val="00104FFE"/>
    <w:pPr>
      <w:keepNext/>
      <w:numPr>
        <w:ilvl w:val="3"/>
        <w:numId w:val="1"/>
      </w:numPr>
      <w:spacing w:before="240" w:after="60"/>
      <w:jc w:val="center"/>
      <w:outlineLvl w:val="3"/>
    </w:pPr>
    <w:rPr>
      <w:rFonts w:eastAsia="Times New Roman" w:cs="Times New Roman"/>
      <w:b/>
      <w:bCs/>
      <w:color w:val="F7964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FE"/>
  </w:style>
  <w:style w:type="character" w:customStyle="1" w:styleId="WW8Num6z0">
    <w:name w:val="WW8Num6z0"/>
    <w:rsid w:val="00104FFE"/>
    <w:rPr>
      <w:rFonts w:ascii="Symbol" w:hAnsi="Symbol"/>
    </w:rPr>
  </w:style>
  <w:style w:type="character" w:customStyle="1" w:styleId="WW8Num6z1">
    <w:name w:val="WW8Num6z1"/>
    <w:rsid w:val="00104FFE"/>
    <w:rPr>
      <w:rFonts w:ascii="Courier New" w:hAnsi="Courier New" w:cs="Courier New"/>
    </w:rPr>
  </w:style>
  <w:style w:type="character" w:customStyle="1" w:styleId="WW8Num6z2">
    <w:name w:val="WW8Num6z2"/>
    <w:rsid w:val="00104FFE"/>
    <w:rPr>
      <w:rFonts w:ascii="Wingdings" w:hAnsi="Wingdings"/>
    </w:rPr>
  </w:style>
  <w:style w:type="character" w:customStyle="1" w:styleId="WW8Num8z0">
    <w:name w:val="WW8Num8z0"/>
    <w:rsid w:val="00104FFE"/>
    <w:rPr>
      <w:rFonts w:ascii="Symbol" w:hAnsi="Symbol"/>
    </w:rPr>
  </w:style>
  <w:style w:type="character" w:customStyle="1" w:styleId="WW8Num8z1">
    <w:name w:val="WW8Num8z1"/>
    <w:rsid w:val="00104FFE"/>
    <w:rPr>
      <w:rFonts w:ascii="Courier New" w:hAnsi="Courier New" w:cs="Courier New"/>
    </w:rPr>
  </w:style>
  <w:style w:type="character" w:customStyle="1" w:styleId="WW8Num8z2">
    <w:name w:val="WW8Num8z2"/>
    <w:rsid w:val="00104FFE"/>
    <w:rPr>
      <w:rFonts w:ascii="Wingdings" w:hAnsi="Wingdings"/>
    </w:rPr>
  </w:style>
  <w:style w:type="character" w:customStyle="1" w:styleId="WW8Num9z0">
    <w:name w:val="WW8Num9z0"/>
    <w:rsid w:val="00104FFE"/>
    <w:rPr>
      <w:rFonts w:ascii="Symbol" w:hAnsi="Symbol"/>
    </w:rPr>
  </w:style>
  <w:style w:type="character" w:customStyle="1" w:styleId="WW8Num9z1">
    <w:name w:val="WW8Num9z1"/>
    <w:rsid w:val="00104FFE"/>
    <w:rPr>
      <w:rFonts w:ascii="Courier New" w:hAnsi="Courier New" w:cs="Courier New"/>
    </w:rPr>
  </w:style>
  <w:style w:type="character" w:customStyle="1" w:styleId="WW8Num9z2">
    <w:name w:val="WW8Num9z2"/>
    <w:rsid w:val="00104FFE"/>
    <w:rPr>
      <w:rFonts w:ascii="Wingdings" w:hAnsi="Wingdings"/>
    </w:rPr>
  </w:style>
  <w:style w:type="character" w:customStyle="1" w:styleId="WW8Num12z0">
    <w:name w:val="WW8Num12z0"/>
    <w:rsid w:val="00104FFE"/>
    <w:rPr>
      <w:rFonts w:ascii="Symbol" w:hAnsi="Symbol"/>
    </w:rPr>
  </w:style>
  <w:style w:type="character" w:customStyle="1" w:styleId="WW8Num12z1">
    <w:name w:val="WW8Num12z1"/>
    <w:rsid w:val="00104FFE"/>
    <w:rPr>
      <w:rFonts w:ascii="Courier New" w:hAnsi="Courier New" w:cs="Courier New"/>
    </w:rPr>
  </w:style>
  <w:style w:type="character" w:customStyle="1" w:styleId="WW8Num12z2">
    <w:name w:val="WW8Num12z2"/>
    <w:rsid w:val="00104FFE"/>
    <w:rPr>
      <w:rFonts w:ascii="Wingdings" w:hAnsi="Wingdings"/>
    </w:rPr>
  </w:style>
  <w:style w:type="character" w:customStyle="1" w:styleId="WW8Num13z0">
    <w:name w:val="WW8Num13z0"/>
    <w:rsid w:val="00104FFE"/>
    <w:rPr>
      <w:rFonts w:ascii="Symbol" w:hAnsi="Symbol"/>
    </w:rPr>
  </w:style>
  <w:style w:type="character" w:customStyle="1" w:styleId="WW8Num13z1">
    <w:name w:val="WW8Num13z1"/>
    <w:rsid w:val="00104FFE"/>
    <w:rPr>
      <w:rFonts w:ascii="Courier New" w:hAnsi="Courier New" w:cs="Courier New"/>
    </w:rPr>
  </w:style>
  <w:style w:type="character" w:customStyle="1" w:styleId="WW8Num13z2">
    <w:name w:val="WW8Num13z2"/>
    <w:rsid w:val="00104FFE"/>
    <w:rPr>
      <w:rFonts w:ascii="Wingdings" w:hAnsi="Wingdings"/>
    </w:rPr>
  </w:style>
  <w:style w:type="character" w:customStyle="1" w:styleId="WW8Num14z0">
    <w:name w:val="WW8Num14z0"/>
    <w:rsid w:val="00104FFE"/>
    <w:rPr>
      <w:rFonts w:ascii="Symbol" w:hAnsi="Symbol"/>
    </w:rPr>
  </w:style>
  <w:style w:type="character" w:customStyle="1" w:styleId="WW8Num14z1">
    <w:name w:val="WW8Num14z1"/>
    <w:rsid w:val="00104FFE"/>
    <w:rPr>
      <w:rFonts w:ascii="Courier New" w:hAnsi="Courier New" w:cs="Courier New"/>
    </w:rPr>
  </w:style>
  <w:style w:type="character" w:customStyle="1" w:styleId="WW8Num14z2">
    <w:name w:val="WW8Num14z2"/>
    <w:rsid w:val="00104FFE"/>
    <w:rPr>
      <w:rFonts w:ascii="Wingdings" w:hAnsi="Wingdings"/>
    </w:rPr>
  </w:style>
  <w:style w:type="character" w:customStyle="1" w:styleId="WW8Num15z0">
    <w:name w:val="WW8Num15z0"/>
    <w:rsid w:val="00104FFE"/>
    <w:rPr>
      <w:rFonts w:ascii="Symbol" w:hAnsi="Symbol"/>
    </w:rPr>
  </w:style>
  <w:style w:type="character" w:customStyle="1" w:styleId="WW8Num15z1">
    <w:name w:val="WW8Num15z1"/>
    <w:rsid w:val="00104FFE"/>
    <w:rPr>
      <w:rFonts w:ascii="Courier New" w:hAnsi="Courier New" w:cs="Courier New"/>
    </w:rPr>
  </w:style>
  <w:style w:type="character" w:customStyle="1" w:styleId="WW8Num15z2">
    <w:name w:val="WW8Num15z2"/>
    <w:rsid w:val="00104FFE"/>
    <w:rPr>
      <w:rFonts w:ascii="Wingdings" w:hAnsi="Wingdings"/>
    </w:rPr>
  </w:style>
  <w:style w:type="character" w:customStyle="1" w:styleId="WW8Num16z0">
    <w:name w:val="WW8Num16z0"/>
    <w:rsid w:val="00104FFE"/>
    <w:rPr>
      <w:rFonts w:ascii="Symbol" w:hAnsi="Symbol"/>
    </w:rPr>
  </w:style>
  <w:style w:type="character" w:customStyle="1" w:styleId="WW8Num16z1">
    <w:name w:val="WW8Num16z1"/>
    <w:rsid w:val="00104FFE"/>
    <w:rPr>
      <w:rFonts w:ascii="Courier New" w:hAnsi="Courier New" w:cs="Courier New"/>
    </w:rPr>
  </w:style>
  <w:style w:type="character" w:customStyle="1" w:styleId="WW8Num16z2">
    <w:name w:val="WW8Num16z2"/>
    <w:rsid w:val="00104FFE"/>
    <w:rPr>
      <w:rFonts w:ascii="Wingdings" w:hAnsi="Wingdings"/>
    </w:rPr>
  </w:style>
  <w:style w:type="character" w:customStyle="1" w:styleId="WW8Num17z0">
    <w:name w:val="WW8Num17z0"/>
    <w:rsid w:val="00104FFE"/>
    <w:rPr>
      <w:rFonts w:ascii="Symbol" w:hAnsi="Symbol"/>
    </w:rPr>
  </w:style>
  <w:style w:type="character" w:customStyle="1" w:styleId="WW8Num17z1">
    <w:name w:val="WW8Num17z1"/>
    <w:rsid w:val="00104FFE"/>
    <w:rPr>
      <w:rFonts w:ascii="Courier New" w:hAnsi="Courier New" w:cs="Courier New"/>
    </w:rPr>
  </w:style>
  <w:style w:type="character" w:customStyle="1" w:styleId="WW8Num17z2">
    <w:name w:val="WW8Num17z2"/>
    <w:rsid w:val="00104FFE"/>
    <w:rPr>
      <w:rFonts w:ascii="Wingdings" w:hAnsi="Wingdings"/>
    </w:rPr>
  </w:style>
  <w:style w:type="character" w:customStyle="1" w:styleId="WW8Num18z0">
    <w:name w:val="WW8Num18z0"/>
    <w:rsid w:val="00104FFE"/>
    <w:rPr>
      <w:rFonts w:ascii="Symbol" w:hAnsi="Symbol"/>
    </w:rPr>
  </w:style>
  <w:style w:type="character" w:customStyle="1" w:styleId="WW8Num18z1">
    <w:name w:val="WW8Num18z1"/>
    <w:rsid w:val="00104FFE"/>
    <w:rPr>
      <w:rFonts w:ascii="Courier New" w:hAnsi="Courier New" w:cs="Courier New"/>
    </w:rPr>
  </w:style>
  <w:style w:type="character" w:customStyle="1" w:styleId="WW8Num18z2">
    <w:name w:val="WW8Num18z2"/>
    <w:rsid w:val="00104FFE"/>
    <w:rPr>
      <w:rFonts w:ascii="Wingdings" w:hAnsi="Wingdings"/>
    </w:rPr>
  </w:style>
  <w:style w:type="character" w:customStyle="1" w:styleId="WW8Num19z0">
    <w:name w:val="WW8Num19z0"/>
    <w:rsid w:val="00104FFE"/>
    <w:rPr>
      <w:rFonts w:ascii="Symbol" w:hAnsi="Symbol"/>
    </w:rPr>
  </w:style>
  <w:style w:type="character" w:customStyle="1" w:styleId="WW8Num19z1">
    <w:name w:val="WW8Num19z1"/>
    <w:rsid w:val="00104FFE"/>
    <w:rPr>
      <w:rFonts w:ascii="Courier New" w:hAnsi="Courier New" w:cs="Courier New"/>
    </w:rPr>
  </w:style>
  <w:style w:type="character" w:customStyle="1" w:styleId="WW8Num19z2">
    <w:name w:val="WW8Num19z2"/>
    <w:rsid w:val="00104FFE"/>
    <w:rPr>
      <w:rFonts w:ascii="Wingdings" w:hAnsi="Wingdings"/>
    </w:rPr>
  </w:style>
  <w:style w:type="character" w:customStyle="1" w:styleId="10">
    <w:name w:val="Основной шрифт абзаца1"/>
    <w:rsid w:val="00104FFE"/>
  </w:style>
  <w:style w:type="character" w:customStyle="1" w:styleId="a3">
    <w:name w:val="Верхний колонтитул Знак"/>
    <w:basedOn w:val="10"/>
    <w:rsid w:val="00104FFE"/>
  </w:style>
  <w:style w:type="character" w:customStyle="1" w:styleId="a4">
    <w:name w:val="Нижний колонтитул Знак"/>
    <w:basedOn w:val="10"/>
    <w:rsid w:val="00104FFE"/>
  </w:style>
  <w:style w:type="character" w:customStyle="1" w:styleId="a5">
    <w:name w:val="Текст выноски Знак"/>
    <w:basedOn w:val="10"/>
    <w:rsid w:val="00104FFE"/>
    <w:rPr>
      <w:rFonts w:ascii="Tahoma" w:hAnsi="Tahoma" w:cs="Tahoma"/>
      <w:sz w:val="16"/>
      <w:szCs w:val="16"/>
    </w:rPr>
  </w:style>
  <w:style w:type="character" w:styleId="a6">
    <w:name w:val="Hyperlink"/>
    <w:basedOn w:val="10"/>
    <w:rsid w:val="00104FFE"/>
    <w:rPr>
      <w:color w:val="0000FF"/>
      <w:u w:val="single"/>
    </w:rPr>
  </w:style>
  <w:style w:type="character" w:customStyle="1" w:styleId="11">
    <w:name w:val="Заголовок 1 Знак"/>
    <w:basedOn w:val="10"/>
    <w:rsid w:val="00104FF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104FF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104FFE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10"/>
    <w:rsid w:val="00104FFE"/>
    <w:rPr>
      <w:rFonts w:ascii="Calibri" w:eastAsia="Times New Roman" w:hAnsi="Calibri" w:cs="Times New Roman"/>
      <w:b/>
      <w:bCs/>
      <w:color w:val="F79646"/>
      <w:sz w:val="28"/>
      <w:szCs w:val="28"/>
    </w:rPr>
  </w:style>
  <w:style w:type="paragraph" w:customStyle="1" w:styleId="a7">
    <w:name w:val="Заголовок"/>
    <w:basedOn w:val="a"/>
    <w:next w:val="a8"/>
    <w:rsid w:val="00104F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104FFE"/>
    <w:pPr>
      <w:spacing w:after="120"/>
    </w:pPr>
  </w:style>
  <w:style w:type="paragraph" w:styleId="a9">
    <w:name w:val="List"/>
    <w:basedOn w:val="a8"/>
    <w:rsid w:val="00104FFE"/>
    <w:rPr>
      <w:rFonts w:ascii="Arial" w:hAnsi="Arial" w:cs="Mangal"/>
    </w:rPr>
  </w:style>
  <w:style w:type="paragraph" w:customStyle="1" w:styleId="12">
    <w:name w:val="Название1"/>
    <w:basedOn w:val="a"/>
    <w:rsid w:val="00104FF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104FFE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104FFE"/>
  </w:style>
  <w:style w:type="paragraph" w:styleId="ab">
    <w:name w:val="footer"/>
    <w:basedOn w:val="a"/>
    <w:rsid w:val="00104FFE"/>
  </w:style>
  <w:style w:type="paragraph" w:styleId="ac">
    <w:name w:val="Balloon Text"/>
    <w:basedOn w:val="a"/>
    <w:rsid w:val="00104FFE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qFormat/>
    <w:rsid w:val="00104FFE"/>
    <w:pPr>
      <w:numPr>
        <w:numId w:val="0"/>
      </w:numPr>
      <w:ind w:firstLine="709"/>
    </w:pPr>
  </w:style>
  <w:style w:type="paragraph" w:styleId="14">
    <w:name w:val="toc 1"/>
    <w:basedOn w:val="a"/>
    <w:next w:val="a"/>
    <w:uiPriority w:val="39"/>
    <w:rsid w:val="00104FFE"/>
    <w:pPr>
      <w:spacing w:after="100"/>
    </w:pPr>
  </w:style>
  <w:style w:type="paragraph" w:styleId="ae">
    <w:name w:val="List Paragraph"/>
    <w:basedOn w:val="a"/>
    <w:qFormat/>
    <w:rsid w:val="00104FFE"/>
    <w:pPr>
      <w:ind w:left="720"/>
    </w:pPr>
  </w:style>
  <w:style w:type="paragraph" w:styleId="21">
    <w:name w:val="toc 2"/>
    <w:basedOn w:val="a"/>
    <w:next w:val="a"/>
    <w:uiPriority w:val="39"/>
    <w:rsid w:val="00104FFE"/>
    <w:pPr>
      <w:spacing w:after="100"/>
      <w:ind w:left="220"/>
    </w:pPr>
  </w:style>
  <w:style w:type="paragraph" w:styleId="31">
    <w:name w:val="toc 3"/>
    <w:basedOn w:val="a"/>
    <w:next w:val="a"/>
    <w:rsid w:val="00104FFE"/>
    <w:pPr>
      <w:spacing w:after="100"/>
      <w:ind w:left="440"/>
    </w:pPr>
  </w:style>
  <w:style w:type="paragraph" w:styleId="af">
    <w:name w:val="Normal (Web)"/>
    <w:basedOn w:val="a"/>
    <w:rsid w:val="00104FFE"/>
    <w:pPr>
      <w:spacing w:before="280" w:after="280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41">
    <w:name w:val="toc 4"/>
    <w:basedOn w:val="13"/>
    <w:rsid w:val="00104FFE"/>
    <w:pPr>
      <w:tabs>
        <w:tab w:val="right" w:leader="dot" w:pos="8789"/>
      </w:tabs>
      <w:ind w:left="849" w:firstLine="0"/>
    </w:pPr>
  </w:style>
  <w:style w:type="paragraph" w:styleId="5">
    <w:name w:val="toc 5"/>
    <w:basedOn w:val="13"/>
    <w:rsid w:val="00104FFE"/>
    <w:pPr>
      <w:tabs>
        <w:tab w:val="right" w:leader="dot" w:pos="8506"/>
      </w:tabs>
      <w:ind w:left="1132" w:firstLine="0"/>
    </w:pPr>
  </w:style>
  <w:style w:type="paragraph" w:styleId="6">
    <w:name w:val="toc 6"/>
    <w:basedOn w:val="13"/>
    <w:rsid w:val="00104FFE"/>
    <w:pPr>
      <w:tabs>
        <w:tab w:val="right" w:leader="dot" w:pos="8223"/>
      </w:tabs>
      <w:ind w:left="1415" w:firstLine="0"/>
    </w:pPr>
  </w:style>
  <w:style w:type="paragraph" w:styleId="7">
    <w:name w:val="toc 7"/>
    <w:basedOn w:val="13"/>
    <w:rsid w:val="00104FFE"/>
    <w:pPr>
      <w:tabs>
        <w:tab w:val="right" w:leader="dot" w:pos="7940"/>
      </w:tabs>
      <w:ind w:left="1698" w:firstLine="0"/>
    </w:pPr>
  </w:style>
  <w:style w:type="paragraph" w:styleId="8">
    <w:name w:val="toc 8"/>
    <w:basedOn w:val="13"/>
    <w:rsid w:val="00104FFE"/>
    <w:pPr>
      <w:tabs>
        <w:tab w:val="right" w:leader="dot" w:pos="7657"/>
      </w:tabs>
      <w:ind w:left="1981" w:firstLine="0"/>
    </w:pPr>
  </w:style>
  <w:style w:type="paragraph" w:styleId="9">
    <w:name w:val="toc 9"/>
    <w:basedOn w:val="13"/>
    <w:rsid w:val="00104FFE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3"/>
    <w:rsid w:val="00104FFE"/>
    <w:pPr>
      <w:tabs>
        <w:tab w:val="right" w:leader="dot" w:pos="7091"/>
      </w:tabs>
      <w:ind w:left="2547" w:firstLine="0"/>
    </w:pPr>
  </w:style>
  <w:style w:type="character" w:styleId="af0">
    <w:name w:val="FollowedHyperlink"/>
    <w:basedOn w:val="a0"/>
    <w:uiPriority w:val="99"/>
    <w:semiHidden/>
    <w:unhideWhenUsed/>
    <w:rsid w:val="002B04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mc-id.com/news.php?news_id=7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hyperlink" Target="http://youtu.be/73KtIafXKh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image" Target="media/image28.png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sbqr.ru/standard/files/standart.pdf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erbank.ru/common/img/uploaded/files/shtrih-kod-standart.pdf" TargetMode="External"/><Relationship Id="rId24" Type="http://schemas.openxmlformats.org/officeDocument/2006/relationships/hyperlink" Target="http://billing2d.asksoft.net/Doc/scan.pdf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://www.sbqr.ru/" TargetMode="External"/><Relationship Id="rId19" Type="http://schemas.openxmlformats.org/officeDocument/2006/relationships/hyperlink" Target="http://billing2d.asksoft.net/Doc/admin_manual.doc" TargetMode="External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asksoft.net" TargetMode="External"/><Relationship Id="rId2" Type="http://schemas.openxmlformats.org/officeDocument/2006/relationships/hyperlink" Target="http://billing2d.asksoft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13560</CharactersWithSpaces>
  <SharedDoc>false</SharedDoc>
  <HLinks>
    <vt:vector size="54" baseType="variant">
      <vt:variant>
        <vt:i4>2687073</vt:i4>
      </vt:variant>
      <vt:variant>
        <vt:i4>63</vt:i4>
      </vt:variant>
      <vt:variant>
        <vt:i4>0</vt:i4>
      </vt:variant>
      <vt:variant>
        <vt:i4>5</vt:i4>
      </vt:variant>
      <vt:variant>
        <vt:lpwstr>http://youtu.be/73KtIafXKhE</vt:lpwstr>
      </vt:variant>
      <vt:variant>
        <vt:lpwstr/>
      </vt:variant>
      <vt:variant>
        <vt:i4>6488117</vt:i4>
      </vt:variant>
      <vt:variant>
        <vt:i4>60</vt:i4>
      </vt:variant>
      <vt:variant>
        <vt:i4>0</vt:i4>
      </vt:variant>
      <vt:variant>
        <vt:i4>5</vt:i4>
      </vt:variant>
      <vt:variant>
        <vt:lpwstr>http://www.sbqr.ru/standard/files/standart.pdf</vt:lpwstr>
      </vt:variant>
      <vt:variant>
        <vt:lpwstr/>
      </vt:variant>
      <vt:variant>
        <vt:i4>1769537</vt:i4>
      </vt:variant>
      <vt:variant>
        <vt:i4>57</vt:i4>
      </vt:variant>
      <vt:variant>
        <vt:i4>0</vt:i4>
      </vt:variant>
      <vt:variant>
        <vt:i4>5</vt:i4>
      </vt:variant>
      <vt:variant>
        <vt:lpwstr>http://billing2d.asksoft.net/Doc/scan.pdf</vt:lpwstr>
      </vt:variant>
      <vt:variant>
        <vt:lpwstr/>
      </vt:variant>
      <vt:variant>
        <vt:i4>131186</vt:i4>
      </vt:variant>
      <vt:variant>
        <vt:i4>54</vt:i4>
      </vt:variant>
      <vt:variant>
        <vt:i4>0</vt:i4>
      </vt:variant>
      <vt:variant>
        <vt:i4>5</vt:i4>
      </vt:variant>
      <vt:variant>
        <vt:lpwstr>http://billing2d.asksoft.net/Doc/admin_manual.doc</vt:lpwstr>
      </vt:variant>
      <vt:variant>
        <vt:lpwstr/>
      </vt:variant>
      <vt:variant>
        <vt:i4>3801089</vt:i4>
      </vt:variant>
      <vt:variant>
        <vt:i4>51</vt:i4>
      </vt:variant>
      <vt:variant>
        <vt:i4>0</vt:i4>
      </vt:variant>
      <vt:variant>
        <vt:i4>5</vt:i4>
      </vt:variant>
      <vt:variant>
        <vt:lpwstr>http://vmc-id.com/news.php?news_id=7</vt:lpwstr>
      </vt:variant>
      <vt:variant>
        <vt:lpwstr/>
      </vt:variant>
      <vt:variant>
        <vt:i4>655363</vt:i4>
      </vt:variant>
      <vt:variant>
        <vt:i4>48</vt:i4>
      </vt:variant>
      <vt:variant>
        <vt:i4>0</vt:i4>
      </vt:variant>
      <vt:variant>
        <vt:i4>5</vt:i4>
      </vt:variant>
      <vt:variant>
        <vt:lpwstr>http://billing2d.asksoft.net/standart.pdf</vt:lpwstr>
      </vt:variant>
      <vt:variant>
        <vt:lpwstr/>
      </vt:variant>
      <vt:variant>
        <vt:i4>7471154</vt:i4>
      </vt:variant>
      <vt:variant>
        <vt:i4>45</vt:i4>
      </vt:variant>
      <vt:variant>
        <vt:i4>0</vt:i4>
      </vt:variant>
      <vt:variant>
        <vt:i4>5</vt:i4>
      </vt:variant>
      <vt:variant>
        <vt:lpwstr>http://www.sbqr.ru/</vt:lpwstr>
      </vt:variant>
      <vt:variant>
        <vt:lpwstr/>
      </vt:variant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mailto:support@asksoft.net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http://billing2d.asksoft.net/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2019-08-08T07:45:00Z</dcterms:created>
  <dcterms:modified xsi:type="dcterms:W3CDTF">2020-08-30T15:34:00Z</dcterms:modified>
</cp:coreProperties>
</file>